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1.1.0 -->
  <w:body>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Годишен доклад за изпълнението</w:t>
            </w:r>
          </w:p>
          <w:p>
            <w:pPr>
              <w:pStyle w:val="Title"/>
              <w:jc w:val="center"/>
            </w:pPr>
            <w:r>
              <w:t>Bulgaria - Rural Development Programme (National)</w:t>
            </w:r>
          </w:p>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2"/>
                  <w:shd w:val="clear" w:color="auto" w:fill="C0C0C0"/>
                </w:tcPr>
                <w:p>
                  <w:pPr>
                    <w:jc w:val="center"/>
                    <w:rPr>
                      <w:b/>
                      <w:sz w:val="24"/>
                    </w:rPr>
                  </w:pPr>
                  <w:r>
                    <w:rPr>
                      <w:b/>
                      <w:sz w:val="24"/>
                    </w:rPr>
                    <w:t>Годишен доклад за изпълнението</w:t>
                  </w:r>
                </w:p>
              </w:tc>
            </w:tr>
            <w:tr>
              <w:tblPrEx>
                <w:tblW w:w="5000" w:type="pct"/>
                <w:tblCellMar>
                  <w:left w:w="108" w:type="dxa"/>
                  <w:right w:w="108" w:type="dxa"/>
                </w:tblCellMar>
              </w:tblPrEx>
              <w:tc>
                <w:tcPr>
                  <w:shd w:val="clear" w:color="auto" w:fill="FFFFFF"/>
                  <w:vAlign w:val="center"/>
                </w:tcPr>
                <w:p>
                  <w:pPr>
                    <w:pStyle w:val="Caption"/>
                    <w:spacing w:before="40" w:after="40"/>
                    <w:jc w:val="center"/>
                  </w:pPr>
                  <w:r>
                    <w:t>Период</w:t>
                  </w:r>
                </w:p>
              </w:tc>
              <w:tc>
                <w:tcPr>
                  <w:shd w:val="clear" w:color="auto" w:fill="FFFFFF"/>
                  <w:vAlign w:val="center"/>
                </w:tcPr>
                <w:p>
                  <w:pPr>
                    <w:spacing w:before="40" w:after="40"/>
                    <w:jc w:val="center"/>
                  </w:pPr>
                  <w:r>
                    <w:t>01/01/2022 - 31/12/2022</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Версия</w:t>
                  </w:r>
                </w:p>
              </w:tc>
              <w:tc>
                <w:tcPr>
                  <w:tcW w:w="2500" w:type="pct"/>
                  <w:shd w:val="clear" w:color="auto" w:fill="FFFFFF"/>
                  <w:vAlign w:val="center"/>
                </w:tcPr>
                <w:p>
                  <w:pPr>
                    <w:spacing w:before="40" w:after="40"/>
                    <w:jc w:val="center"/>
                  </w:pPr>
                  <w:r>
                    <w:t>2022.0</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Статус — настоящ възел</w:t>
                  </w:r>
                </w:p>
              </w:tc>
              <w:tc>
                <w:tcPr>
                  <w:tcW w:w="2500" w:type="pct"/>
                  <w:shd w:val="clear" w:color="auto" w:fill="FFFFFF"/>
                  <w:vAlign w:val="center"/>
                </w:tcPr>
                <w:p>
                  <w:pPr>
                    <w:spacing w:before="40" w:after="40"/>
                    <w:jc w:val="center"/>
                  </w:pPr>
                  <w:r>
                    <w:t>Изпратено - European Commission</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Национален референтен номер</w:t>
                  </w:r>
                </w:p>
              </w:tc>
              <w:tc>
                <w:tcPr>
                  <w:tcW w:w="2500" w:type="pct"/>
                  <w:shd w:val="clear" w:color="auto" w:fill="FFFFFF"/>
                  <w:vAlign w:val="center"/>
                </w:tcPr>
                <w:p>
                  <w:pPr>
                    <w:spacing w:before="40" w:after="40"/>
                    <w:jc w:val="center"/>
                  </w:pP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Дата на одобряване на комитет за наблюдение</w:t>
                  </w:r>
                </w:p>
              </w:tc>
              <w:tc>
                <w:tcPr>
                  <w:tcW w:w="2500" w:type="pct"/>
                  <w:shd w:val="clear" w:color="auto" w:fill="FFFFFF"/>
                  <w:vAlign w:val="center"/>
                </w:tcPr>
                <w:p>
                  <w:pPr>
                    <w:spacing w:before="40" w:after="40"/>
                    <w:jc w:val="center"/>
                  </w:pPr>
                  <w:r>
                    <w:t>27/06/2023</w:t>
                  </w:r>
                </w:p>
              </w:tc>
            </w:tr>
          </w:tbl>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2"/>
                  <w:shd w:val="clear" w:color="auto" w:fill="C0C0C0"/>
                </w:tcPr>
                <w:p>
                  <w:pPr>
                    <w:jc w:val="center"/>
                    <w:rPr>
                      <w:b/>
                      <w:sz w:val="24"/>
                    </w:rPr>
                  </w:pPr>
                  <w:r>
                    <w:rPr>
                      <w:b/>
                      <w:sz w:val="24"/>
                    </w:rPr>
                    <w:t>Версия на програмата в сила</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CCI</w:t>
                  </w:r>
                </w:p>
              </w:tc>
              <w:tc>
                <w:tcPr>
                  <w:tcW w:w="2500" w:type="pct"/>
                  <w:shd w:val="clear" w:color="auto" w:fill="FFFFFF"/>
                  <w:vAlign w:val="center"/>
                </w:tcPr>
                <w:p>
                  <w:pPr>
                    <w:spacing w:before="40" w:after="40"/>
                    <w:jc w:val="center"/>
                  </w:pPr>
                  <w:r>
                    <w:t>2014BG06RDNP001</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Вид на програмата</w:t>
                  </w:r>
                </w:p>
              </w:tc>
              <w:tc>
                <w:tcPr>
                  <w:tcW w:w="2500" w:type="pct"/>
                  <w:shd w:val="clear" w:color="auto" w:fill="FFFFFF"/>
                  <w:vAlign w:val="center"/>
                </w:tcPr>
                <w:p>
                  <w:pPr>
                    <w:spacing w:before="40" w:after="40"/>
                    <w:jc w:val="center"/>
                  </w:pPr>
                  <w:r>
                    <w:t>Програма за развитие на селските райони</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Държава</w:t>
                  </w:r>
                </w:p>
              </w:tc>
              <w:tc>
                <w:tcPr>
                  <w:tcW w:w="2500" w:type="pct"/>
                  <w:shd w:val="clear" w:color="auto" w:fill="FFFFFF"/>
                  <w:vAlign w:val="center"/>
                </w:tcPr>
                <w:p>
                  <w:pPr>
                    <w:spacing w:before="40" w:after="40"/>
                    <w:jc w:val="center"/>
                  </w:pPr>
                  <w:r>
                    <w:t>България</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Регион</w:t>
                  </w:r>
                </w:p>
              </w:tc>
              <w:tc>
                <w:tcPr>
                  <w:tcW w:w="2500" w:type="pct"/>
                  <w:shd w:val="clear" w:color="auto" w:fill="FFFFFF"/>
                  <w:vAlign w:val="center"/>
                </w:tcPr>
                <w:p>
                  <w:pPr>
                    <w:spacing w:before="40" w:after="40"/>
                    <w:jc w:val="center"/>
                  </w:pPr>
                  <w:r>
                    <w:t>BG - National</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Програмен период</w:t>
                  </w:r>
                </w:p>
              </w:tc>
              <w:tc>
                <w:tcPr>
                  <w:tcW w:w="2500" w:type="pct"/>
                  <w:shd w:val="clear" w:color="auto" w:fill="FFFFFF"/>
                  <w:vAlign w:val="center"/>
                </w:tcPr>
                <w:p>
                  <w:pPr>
                    <w:spacing w:before="40" w:after="40"/>
                    <w:jc w:val="center"/>
                  </w:pPr>
                  <w:r>
                    <w:t>2014 - 2022</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Версия</w:t>
                  </w:r>
                </w:p>
              </w:tc>
              <w:tc>
                <w:tcPr>
                  <w:tcW w:w="2500" w:type="pct"/>
                  <w:shd w:val="clear" w:color="auto" w:fill="FFFFFF"/>
                  <w:vAlign w:val="center"/>
                </w:tcPr>
                <w:p>
                  <w:pPr>
                    <w:spacing w:before="40" w:after="40"/>
                    <w:jc w:val="center"/>
                  </w:pPr>
                  <w:r>
                    <w:t>15.2</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Номер на решението</w:t>
                  </w:r>
                </w:p>
              </w:tc>
              <w:tc>
                <w:tcPr>
                  <w:tcW w:w="2500" w:type="pct"/>
                  <w:shd w:val="clear" w:color="auto" w:fill="FFFFFF"/>
                  <w:vAlign w:val="center"/>
                </w:tcPr>
                <w:p>
                  <w:pPr>
                    <w:spacing w:before="40" w:after="40"/>
                    <w:jc w:val="center"/>
                  </w:pPr>
                  <w:r>
                    <w:t>C(2022)9936</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Дата на решението</w:t>
                  </w:r>
                </w:p>
              </w:tc>
              <w:tc>
                <w:tcPr>
                  <w:tcW w:w="2500" w:type="pct"/>
                  <w:shd w:val="clear" w:color="auto" w:fill="FFFFFF"/>
                  <w:vAlign w:val="center"/>
                </w:tcPr>
                <w:p>
                  <w:pPr>
                    <w:spacing w:before="40" w:after="40"/>
                    <w:jc w:val="center"/>
                  </w:pPr>
                  <w:r>
                    <w:t>19/12/2022</w:t>
                  </w:r>
                </w:p>
              </w:tc>
            </w:tr>
            <w:tr>
              <w:tblPrEx>
                <w:tblW w:w="5000" w:type="pct"/>
                <w:tblCellMar>
                  <w:left w:w="108" w:type="dxa"/>
                  <w:right w:w="108" w:type="dxa"/>
                </w:tblCellMar>
              </w:tblPrEx>
              <w:tc>
                <w:tcPr>
                  <w:tcW w:w="2500" w:type="pct"/>
                  <w:shd w:val="clear" w:color="auto" w:fill="FFFFFF"/>
                  <w:vAlign w:val="center"/>
                </w:tcPr>
                <w:p>
                  <w:pPr>
                    <w:pStyle w:val="Caption"/>
                    <w:spacing w:before="40" w:after="40"/>
                    <w:jc w:val="center"/>
                  </w:pPr>
                  <w:r>
                    <w:t>Управляващ орган</w:t>
                  </w:r>
                </w:p>
              </w:tc>
              <w:tc>
                <w:tcPr>
                  <w:tcW w:w="2500" w:type="pct"/>
                  <w:shd w:val="clear" w:color="auto" w:fill="FFFFFF"/>
                  <w:vAlign w:val="center"/>
                </w:tcPr>
                <w:p>
                  <w:pPr>
                    <w:spacing w:before="40" w:after="40"/>
                    <w:jc w:val="center"/>
                  </w:pPr>
                  <w:r>
                    <w:t>Дирекция "Развитие на селските райони" (РСР) в Министерство на земеделието</w:t>
                  </w:r>
                </w:p>
              </w:tc>
            </w:tr>
          </w:tbl>
          <w:p/>
        </w:tc>
      </w:tr>
    </w:tbl>
    <w:p>
      <w:pPr>
        <w:sectPr>
          <w:footerReference w:type="default" r:id="rId7"/>
          <w:headerReference w:type="first" r:id="rId8"/>
          <w:footerReference w:type="first" r:id="rId9"/>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Theme="minorHAnsi" w:hAnsiTheme="minorHAns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Ключова информация относно изпълнението на програмата и нейните приоритети</w:t>
        </w:r>
        <w:r>
          <w:tab/>
        </w:r>
        <w:r>
          <w:fldChar w:fldCharType="begin"/>
        </w:r>
        <w:r>
          <w:instrText xml:space="preserve"> PAGEREF _Toc256000000 \h </w:instrText>
        </w:r>
        <w:r>
          <w:fldChar w:fldCharType="separate"/>
        </w:r>
        <w:r>
          <w:t>4</w:t>
        </w:r>
        <w:r>
          <w:fldChar w:fldCharType="end"/>
        </w:r>
      </w:hyperlink>
    </w:p>
    <w:p>
      <w:pPr>
        <w:pStyle w:val="TOC2"/>
        <w:rPr>
          <w:rFonts w:asciiTheme="minorHAnsi" w:hAnsiTheme="minorHAnsi"/>
          <w:noProof/>
          <w:sz w:val="22"/>
        </w:rPr>
      </w:pPr>
      <w:hyperlink w:anchor="_Toc256000001" w:history="1">
        <w:r>
          <w:rPr>
            <w:rStyle w:val="Hyperlink"/>
          </w:rPr>
          <w:t>1.a)</w:t>
        </w:r>
        <w:r>
          <w:rPr>
            <w:rStyle w:val="Hyperlink"/>
          </w:rPr>
          <w:t xml:space="preserve"> </w:t>
        </w:r>
        <w:r>
          <w:rPr>
            <w:rStyle w:val="Hyperlink"/>
          </w:rPr>
          <w:t>Финансови данни</w:t>
        </w:r>
        <w:r>
          <w:tab/>
        </w:r>
        <w:r>
          <w:fldChar w:fldCharType="begin"/>
        </w:r>
        <w:r>
          <w:instrText xml:space="preserve"> PAGEREF _Toc256000001 \h </w:instrText>
        </w:r>
        <w:r>
          <w:fldChar w:fldCharType="separate"/>
        </w:r>
        <w:r>
          <w:t>4</w:t>
        </w:r>
        <w:r>
          <w:fldChar w:fldCharType="end"/>
        </w:r>
      </w:hyperlink>
    </w:p>
    <w:p>
      <w:pPr>
        <w:pStyle w:val="TOC2"/>
        <w:rPr>
          <w:rFonts w:asciiTheme="minorHAnsi" w:hAnsiTheme="minorHAnsi"/>
          <w:noProof/>
          <w:sz w:val="22"/>
        </w:rPr>
      </w:pPr>
      <w:hyperlink w:anchor="_Toc256000002" w:history="1">
        <w:r>
          <w:rPr>
            <w:rStyle w:val="Hyperlink"/>
          </w:rPr>
          <w:t>1.b)</w:t>
        </w:r>
        <w:r>
          <w:rPr>
            <w:rStyle w:val="Hyperlink"/>
          </w:rPr>
          <w:t xml:space="preserve"> </w:t>
        </w:r>
        <w:r>
          <w:rPr>
            <w:rStyle w:val="Hyperlink"/>
          </w:rPr>
          <w:t>Общи и специфични за програмата показатели и количествени целеви стойности</w:t>
        </w:r>
        <w:r>
          <w:tab/>
        </w:r>
        <w:r>
          <w:fldChar w:fldCharType="begin"/>
        </w:r>
        <w:r>
          <w:instrText xml:space="preserve"> PAGEREF _Toc256000002 \h </w:instrText>
        </w:r>
        <w:r>
          <w:fldChar w:fldCharType="separate"/>
        </w:r>
        <w:r>
          <w:t>4</w:t>
        </w:r>
        <w:r>
          <w:fldChar w:fldCharType="end"/>
        </w:r>
      </w:hyperlink>
    </w:p>
    <w:p>
      <w:pPr>
        <w:pStyle w:val="TOC3"/>
        <w:rPr>
          <w:rFonts w:asciiTheme="minorHAnsi" w:hAnsiTheme="minorHAnsi"/>
          <w:noProof/>
          <w:sz w:val="22"/>
        </w:rPr>
      </w:pPr>
      <w:hyperlink w:anchor="_Toc256000003" w:history="1">
        <w:r>
          <w:rPr>
            <w:rStyle w:val="Hyperlink"/>
          </w:rPr>
          <w:t>1.b1)</w:t>
        </w:r>
        <w:r>
          <w:rPr>
            <w:rStyle w:val="Hyperlink"/>
          </w:rPr>
          <w:t xml:space="preserve"> </w:t>
        </w:r>
        <w:r>
          <w:rPr>
            <w:rStyle w:val="Hyperlink"/>
          </w:rPr>
          <w:t>Таблица с общ преглед</w:t>
        </w:r>
        <w:r>
          <w:tab/>
        </w:r>
        <w:r>
          <w:fldChar w:fldCharType="begin"/>
        </w:r>
        <w:r>
          <w:instrText xml:space="preserve"> PAGEREF _Toc256000003 \h </w:instrText>
        </w:r>
        <w:r>
          <w:fldChar w:fldCharType="separate"/>
        </w:r>
        <w:r>
          <w:t>4</w:t>
        </w:r>
        <w:r>
          <w:fldChar w:fldCharType="end"/>
        </w:r>
      </w:hyperlink>
    </w:p>
    <w:p>
      <w:pPr>
        <w:pStyle w:val="TOC2"/>
        <w:rPr>
          <w:rFonts w:asciiTheme="minorHAnsi" w:hAnsiTheme="minorHAnsi"/>
          <w:noProof/>
          <w:sz w:val="22"/>
        </w:rPr>
      </w:pPr>
      <w:hyperlink w:anchor="_Toc256000004" w:history="1">
        <w:r>
          <w:rPr>
            <w:rStyle w:val="Hyperlink"/>
          </w:rPr>
          <w:t>1.c)</w:t>
        </w:r>
        <w:r>
          <w:rPr>
            <w:rStyle w:val="Hyperlink"/>
          </w:rPr>
          <w:t xml:space="preserve"> </w:t>
        </w:r>
        <w:r>
          <w:rPr>
            <w:rStyle w:val="Hyperlink"/>
          </w:rPr>
          <w:t>Ключова информация относно изпълнението на ПРСР въз основа на данни от a) и б) по акцентирани области</w:t>
        </w:r>
        <w:r>
          <w:tab/>
        </w:r>
        <w:r>
          <w:fldChar w:fldCharType="begin"/>
        </w:r>
        <w:r>
          <w:instrText xml:space="preserve"> PAGEREF _Toc256000004 \h </w:instrText>
        </w:r>
        <w:r>
          <w:fldChar w:fldCharType="separate"/>
        </w:r>
        <w:r>
          <w:t>21</w:t>
        </w:r>
        <w:r>
          <w:fldChar w:fldCharType="end"/>
        </w:r>
      </w:hyperlink>
    </w:p>
    <w:p>
      <w:pPr>
        <w:pStyle w:val="TOC2"/>
        <w:rPr>
          <w:rFonts w:asciiTheme="minorHAnsi" w:hAnsiTheme="minorHAnsi"/>
          <w:noProof/>
          <w:sz w:val="22"/>
        </w:rPr>
      </w:pPr>
      <w:hyperlink w:anchor="_Toc256000005" w:history="1">
        <w:r>
          <w:rPr>
            <w:rStyle w:val="Hyperlink"/>
          </w:rPr>
          <w:t>1.d)</w:t>
        </w:r>
        <w:r>
          <w:rPr>
            <w:rStyle w:val="Hyperlink"/>
          </w:rPr>
          <w:t xml:space="preserve"> </w:t>
        </w:r>
        <w:r>
          <w:rPr>
            <w:rStyle w:val="Hyperlink"/>
          </w:rPr>
          <w:t>Ключова информация относно постиженията във връзка с етапните цели, определени в рамката на изпълнението въз основа на таблица Е</w:t>
        </w:r>
        <w:r>
          <w:tab/>
        </w:r>
        <w:r>
          <w:fldChar w:fldCharType="begin"/>
        </w:r>
        <w:r>
          <w:instrText xml:space="preserve"> PAGEREF _Toc256000005 \h </w:instrText>
        </w:r>
        <w:r>
          <w:fldChar w:fldCharType="separate"/>
        </w:r>
        <w:r>
          <w:t>55</w:t>
        </w:r>
        <w:r>
          <w:fldChar w:fldCharType="end"/>
        </w:r>
      </w:hyperlink>
    </w:p>
    <w:p>
      <w:pPr>
        <w:pStyle w:val="TOC2"/>
        <w:rPr>
          <w:rFonts w:asciiTheme="minorHAnsi" w:hAnsiTheme="minorHAnsi"/>
          <w:noProof/>
          <w:sz w:val="22"/>
        </w:rPr>
      </w:pPr>
      <w:hyperlink w:anchor="_Toc256000006" w:history="1">
        <w:r>
          <w:rPr>
            <w:rStyle w:val="Hyperlink"/>
          </w:rPr>
          <w:t>1.e)</w:t>
        </w:r>
        <w:r>
          <w:rPr>
            <w:rStyle w:val="Hyperlink"/>
          </w:rPr>
          <w:t xml:space="preserve"> </w:t>
        </w:r>
        <w:r>
          <w:rPr>
            <w:rStyle w:val="Hyperlink"/>
          </w:rPr>
          <w:t>Друг конкретен елемент по ПРСР [незадължително]</w:t>
        </w:r>
        <w:r>
          <w:tab/>
        </w:r>
        <w:r>
          <w:fldChar w:fldCharType="begin"/>
        </w:r>
        <w:r>
          <w:instrText xml:space="preserve"> PAGEREF _Toc256000006 \h </w:instrText>
        </w:r>
        <w:r>
          <w:fldChar w:fldCharType="separate"/>
        </w:r>
        <w:r>
          <w:t>56</w:t>
        </w:r>
        <w:r>
          <w:fldChar w:fldCharType="end"/>
        </w:r>
      </w:hyperlink>
    </w:p>
    <w:p>
      <w:pPr>
        <w:pStyle w:val="TOC2"/>
        <w:rPr>
          <w:rFonts w:asciiTheme="minorHAnsi" w:hAnsiTheme="minorHAnsi"/>
          <w:noProof/>
          <w:sz w:val="22"/>
        </w:rPr>
      </w:pPr>
      <w:hyperlink w:anchor="_Toc256000007" w:history="1">
        <w:r>
          <w:rPr>
            <w:rStyle w:val="Hyperlink"/>
          </w:rPr>
          <w:t>1.f)</w:t>
        </w:r>
        <w:r>
          <w:rPr>
            <w:rStyle w:val="Hyperlink"/>
          </w:rPr>
          <w:t xml:space="preserve"> </w:t>
        </w:r>
        <w:r>
          <w:rPr>
            <w:rStyle w:val="Hyperlink"/>
            <w:noProof/>
          </w:rPr>
          <w:t>По целесъобразност, приноса към макрорегионалните стратегии и стратегиите за морските басейни</w:t>
        </w:r>
        <w:r>
          <w:tab/>
        </w:r>
        <w:r>
          <w:fldChar w:fldCharType="begin"/>
        </w:r>
        <w:r>
          <w:instrText xml:space="preserve"> PAGEREF _Toc256000007 \h </w:instrText>
        </w:r>
        <w:r>
          <w:fldChar w:fldCharType="separate"/>
        </w:r>
        <w:r>
          <w:t>58</w:t>
        </w:r>
        <w:r>
          <w:fldChar w:fldCharType="end"/>
        </w:r>
      </w:hyperlink>
    </w:p>
    <w:p>
      <w:pPr>
        <w:pStyle w:val="TOC2"/>
        <w:rPr>
          <w:rFonts w:asciiTheme="minorHAnsi" w:hAnsiTheme="minorHAnsi"/>
          <w:noProof/>
          <w:sz w:val="22"/>
        </w:rPr>
      </w:pPr>
      <w:hyperlink w:anchor="_Toc256000008" w:history="1">
        <w:r>
          <w:rPr>
            <w:rStyle w:val="Hyperlink"/>
          </w:rPr>
          <w:t>1.g)</w:t>
        </w:r>
        <w:r>
          <w:rPr>
            <w:rStyle w:val="Hyperlink"/>
          </w:rPr>
          <w:t xml:space="preserve"> </w:t>
        </w:r>
        <w:r>
          <w:rPr>
            <w:rStyle w:val="Hyperlink"/>
          </w:rPr>
          <w:t>Валутен курс, използван за преизчисляването в ГДИ (страни извън ЕС)</w:t>
        </w:r>
        <w:r>
          <w:tab/>
        </w:r>
        <w:r>
          <w:fldChar w:fldCharType="begin"/>
        </w:r>
        <w:r>
          <w:instrText xml:space="preserve"> PAGEREF _Toc256000008 \h </w:instrText>
        </w:r>
        <w:r>
          <w:fldChar w:fldCharType="separate"/>
        </w:r>
        <w:r>
          <w:t>62</w:t>
        </w:r>
        <w:r>
          <w:fldChar w:fldCharType="end"/>
        </w:r>
      </w:hyperlink>
    </w:p>
    <w:p>
      <w:pPr>
        <w:pStyle w:val="TOC1"/>
        <w:rPr>
          <w:rFonts w:asciiTheme="minorHAnsi" w:hAnsiTheme="minorHAnsi"/>
          <w:noProof/>
          <w:sz w:val="22"/>
        </w:rPr>
      </w:pPr>
      <w:hyperlink w:anchor="_Toc256000009" w:history="1">
        <w:r>
          <w:rPr>
            <w:rStyle w:val="Hyperlink"/>
          </w:rPr>
          <w:t>2.</w:t>
        </w:r>
        <w:r>
          <w:rPr>
            <w:rStyle w:val="Hyperlink"/>
          </w:rPr>
          <w:t xml:space="preserve"> </w:t>
        </w:r>
        <w:r>
          <w:rPr>
            <w:rStyle w:val="Hyperlink"/>
          </w:rPr>
          <w:t>Напредъкът в изпълнението на плана за оценка</w:t>
        </w:r>
        <w:r>
          <w:tab/>
        </w:r>
        <w:r>
          <w:fldChar w:fldCharType="begin"/>
        </w:r>
        <w:r>
          <w:instrText xml:space="preserve"> PAGEREF _Toc256000009 \h </w:instrText>
        </w:r>
        <w:r>
          <w:fldChar w:fldCharType="separate"/>
        </w:r>
        <w:r>
          <w:t>63</w:t>
        </w:r>
        <w:r>
          <w:fldChar w:fldCharType="end"/>
        </w:r>
      </w:hyperlink>
    </w:p>
    <w:p>
      <w:pPr>
        <w:pStyle w:val="TOC2"/>
        <w:rPr>
          <w:rFonts w:asciiTheme="minorHAnsi" w:hAnsiTheme="minorHAnsi"/>
          <w:noProof/>
          <w:sz w:val="22"/>
        </w:rPr>
      </w:pPr>
      <w:hyperlink w:anchor="_Toc256000010" w:history="1">
        <w:r>
          <w:rPr>
            <w:rStyle w:val="Hyperlink"/>
          </w:rPr>
          <w:t>2.a)</w:t>
        </w:r>
        <w:r>
          <w:rPr>
            <w:rStyle w:val="Hyperlink"/>
          </w:rPr>
          <w:t xml:space="preserve"> </w:t>
        </w:r>
        <w:r>
          <w:rPr>
            <w:rStyle w:val="Hyperlink"/>
          </w:rPr>
          <w:t>Описание на евентуални изменения, направени в плана за оценка на ПРСР през годината, със съответната обосновка</w:t>
        </w:r>
        <w:r>
          <w:tab/>
        </w:r>
        <w:r>
          <w:fldChar w:fldCharType="begin"/>
        </w:r>
        <w:r>
          <w:instrText xml:space="preserve"> PAGEREF _Toc256000010 \h </w:instrText>
        </w:r>
        <w:r>
          <w:fldChar w:fldCharType="separate"/>
        </w:r>
        <w:r>
          <w:t>63</w:t>
        </w:r>
        <w:r>
          <w:fldChar w:fldCharType="end"/>
        </w:r>
      </w:hyperlink>
    </w:p>
    <w:p>
      <w:pPr>
        <w:pStyle w:val="TOC2"/>
        <w:rPr>
          <w:rFonts w:asciiTheme="minorHAnsi" w:hAnsiTheme="minorHAnsi"/>
          <w:noProof/>
          <w:sz w:val="22"/>
        </w:rPr>
      </w:pPr>
      <w:hyperlink w:anchor="_Toc256000011" w:history="1">
        <w:r>
          <w:rPr>
            <w:rStyle w:val="Hyperlink"/>
          </w:rPr>
          <w:t>2.b)</w:t>
        </w:r>
        <w:r>
          <w:rPr>
            <w:rStyle w:val="Hyperlink"/>
          </w:rPr>
          <w:t xml:space="preserve"> </w:t>
        </w:r>
        <w:r>
          <w:rPr>
            <w:rStyle w:val="Hyperlink"/>
          </w:rPr>
          <w:t>Описание на предприетите дейности за оценка през годината (във връзка с раздел 3 на плана за оценка)</w:t>
        </w:r>
        <w:r>
          <w:tab/>
        </w:r>
        <w:r>
          <w:fldChar w:fldCharType="begin"/>
        </w:r>
        <w:r>
          <w:instrText xml:space="preserve"> PAGEREF _Toc256000011 \h </w:instrText>
        </w:r>
        <w:r>
          <w:fldChar w:fldCharType="separate"/>
        </w:r>
        <w:r>
          <w:t>63</w:t>
        </w:r>
        <w:r>
          <w:fldChar w:fldCharType="end"/>
        </w:r>
      </w:hyperlink>
    </w:p>
    <w:p>
      <w:pPr>
        <w:pStyle w:val="TOC2"/>
        <w:rPr>
          <w:rFonts w:asciiTheme="minorHAnsi" w:hAnsiTheme="minorHAnsi"/>
          <w:noProof/>
          <w:sz w:val="22"/>
        </w:rPr>
      </w:pPr>
      <w:hyperlink w:anchor="_Toc256000012" w:history="1">
        <w:r>
          <w:rPr>
            <w:rStyle w:val="Hyperlink"/>
          </w:rPr>
          <w:t>2.c)</w:t>
        </w:r>
        <w:r>
          <w:rPr>
            <w:rStyle w:val="Hyperlink"/>
          </w:rPr>
          <w:t xml:space="preserve"> </w:t>
        </w:r>
        <w:r>
          <w:rPr>
            <w:rStyle w:val="Hyperlink"/>
          </w:rPr>
          <w:t>Описание на дейностите, предприети по отношение на предоставянето и управлението на данни (във връзка с раздел 4 на плана за оценка)</w:t>
        </w:r>
        <w:r>
          <w:tab/>
        </w:r>
        <w:r>
          <w:fldChar w:fldCharType="begin"/>
        </w:r>
        <w:r>
          <w:instrText xml:space="preserve"> PAGEREF _Toc256000012 \h </w:instrText>
        </w:r>
        <w:r>
          <w:fldChar w:fldCharType="separate"/>
        </w:r>
        <w:r>
          <w:t>63</w:t>
        </w:r>
        <w:r>
          <w:fldChar w:fldCharType="end"/>
        </w:r>
      </w:hyperlink>
    </w:p>
    <w:p>
      <w:pPr>
        <w:pStyle w:val="TOC2"/>
        <w:rPr>
          <w:rFonts w:asciiTheme="minorHAnsi" w:hAnsiTheme="minorHAnsi"/>
          <w:noProof/>
          <w:sz w:val="22"/>
        </w:rPr>
      </w:pPr>
      <w:hyperlink w:anchor="_Toc256000013" w:history="1">
        <w:r>
          <w:rPr>
            <w:rStyle w:val="Hyperlink"/>
          </w:rPr>
          <w:t>2.d)</w:t>
        </w:r>
        <w:r>
          <w:rPr>
            <w:rStyle w:val="Hyperlink"/>
          </w:rPr>
          <w:t xml:space="preserve"> </w:t>
        </w:r>
        <w:r>
          <w:rPr>
            <w:rStyle w:val="Hyperlink"/>
          </w:rPr>
          <w:t>Списък на завършените оценки, включително посочване на местата, където те са публикувани в интернет</w:t>
        </w:r>
        <w:r>
          <w:tab/>
        </w:r>
        <w:r>
          <w:fldChar w:fldCharType="begin"/>
        </w:r>
        <w:r>
          <w:instrText xml:space="preserve"> PAGEREF _Toc256000013 \h </w:instrText>
        </w:r>
        <w:r>
          <w:fldChar w:fldCharType="separate"/>
        </w:r>
        <w:r>
          <w:t>65</w:t>
        </w:r>
        <w:r>
          <w:fldChar w:fldCharType="end"/>
        </w:r>
      </w:hyperlink>
    </w:p>
    <w:p>
      <w:pPr>
        <w:pStyle w:val="TOC2"/>
        <w:rPr>
          <w:rFonts w:asciiTheme="minorHAnsi" w:hAnsiTheme="minorHAnsi"/>
          <w:noProof/>
          <w:sz w:val="22"/>
        </w:rPr>
      </w:pPr>
      <w:hyperlink w:anchor="_Toc256000014" w:history="1">
        <w:r>
          <w:rPr>
            <w:rStyle w:val="Hyperlink"/>
          </w:rPr>
          <w:t>2.e)</w:t>
        </w:r>
        <w:r>
          <w:rPr>
            <w:rStyle w:val="Hyperlink"/>
          </w:rPr>
          <w:t xml:space="preserve"> </w:t>
        </w:r>
        <w:r>
          <w:rPr>
            <w:rStyle w:val="Hyperlink"/>
          </w:rPr>
          <w:t>Резюме на приключени оценки, което се съсредоточава върху заключенията от тях</w:t>
        </w:r>
        <w:r>
          <w:tab/>
        </w:r>
        <w:r>
          <w:fldChar w:fldCharType="begin"/>
        </w:r>
        <w:r>
          <w:instrText xml:space="preserve"> PAGEREF _Toc256000014 \h </w:instrText>
        </w:r>
        <w:r>
          <w:fldChar w:fldCharType="separate"/>
        </w:r>
        <w:r>
          <w:t>66</w:t>
        </w:r>
        <w:r>
          <w:fldChar w:fldCharType="end"/>
        </w:r>
      </w:hyperlink>
    </w:p>
    <w:p>
      <w:pPr>
        <w:pStyle w:val="TOC2"/>
        <w:rPr>
          <w:rFonts w:asciiTheme="minorHAnsi" w:hAnsiTheme="minorHAnsi"/>
          <w:noProof/>
          <w:sz w:val="22"/>
        </w:rPr>
      </w:pPr>
      <w:hyperlink w:anchor="_Toc256000015" w:history="1">
        <w:r>
          <w:rPr>
            <w:rStyle w:val="Hyperlink"/>
          </w:rPr>
          <w:t>2.f)</w:t>
        </w:r>
        <w:r>
          <w:rPr>
            <w:rStyle w:val="Hyperlink"/>
          </w:rPr>
          <w:t xml:space="preserve"> </w:t>
        </w:r>
        <w:r>
          <w:rPr>
            <w:rStyle w:val="Hyperlink"/>
          </w:rPr>
          <w:t>Описание на дейностите, предприети по отношение на публикуването на констатациите от оценката (във връзка с раздел 6 на плана за оценка)</w:t>
        </w:r>
        <w:r>
          <w:tab/>
        </w:r>
        <w:r>
          <w:fldChar w:fldCharType="begin"/>
        </w:r>
        <w:r>
          <w:instrText xml:space="preserve"> PAGEREF _Toc256000015 \h </w:instrText>
        </w:r>
        <w:r>
          <w:fldChar w:fldCharType="separate"/>
        </w:r>
        <w:r>
          <w:t>66</w:t>
        </w:r>
        <w:r>
          <w:fldChar w:fldCharType="end"/>
        </w:r>
      </w:hyperlink>
    </w:p>
    <w:p>
      <w:pPr>
        <w:pStyle w:val="TOC2"/>
        <w:rPr>
          <w:rFonts w:asciiTheme="minorHAnsi" w:hAnsiTheme="minorHAnsi"/>
          <w:noProof/>
          <w:sz w:val="22"/>
        </w:rPr>
      </w:pPr>
      <w:hyperlink w:anchor="_Toc256000016" w:history="1">
        <w:r>
          <w:rPr>
            <w:rStyle w:val="Hyperlink"/>
          </w:rPr>
          <w:t>2.g)</w:t>
        </w:r>
        <w:r>
          <w:rPr>
            <w:rStyle w:val="Hyperlink"/>
          </w:rPr>
          <w:t xml:space="preserve"> </w:t>
        </w:r>
        <w:r>
          <w:rPr>
            <w:rStyle w:val="Hyperlink"/>
          </w:rPr>
          <w:t>Описание на предприетите последващи действия във връзка с резултатите от оценката (във връзка с раздел 6 на плана за оценка)</w:t>
        </w:r>
        <w:r>
          <w:tab/>
        </w:r>
        <w:r>
          <w:fldChar w:fldCharType="begin"/>
        </w:r>
        <w:r>
          <w:instrText xml:space="preserve"> PAGEREF _Toc256000016 \h </w:instrText>
        </w:r>
        <w:r>
          <w:fldChar w:fldCharType="separate"/>
        </w:r>
        <w:r>
          <w:t>67</w:t>
        </w:r>
        <w:r>
          <w:fldChar w:fldCharType="end"/>
        </w:r>
      </w:hyperlink>
    </w:p>
    <w:p>
      <w:pPr>
        <w:pStyle w:val="TOC1"/>
        <w:rPr>
          <w:rFonts w:asciiTheme="minorHAnsi" w:hAnsiTheme="minorHAnsi"/>
          <w:noProof/>
          <w:sz w:val="22"/>
        </w:rPr>
      </w:pPr>
      <w:hyperlink w:anchor="_Toc256000017" w:history="1">
        <w:r>
          <w:rPr>
            <w:rStyle w:val="Hyperlink"/>
          </w:rPr>
          <w:t>3.</w:t>
        </w:r>
        <w:r>
          <w:rPr>
            <w:rStyle w:val="Hyperlink"/>
          </w:rPr>
          <w:t xml:space="preserve"> </w:t>
        </w:r>
        <w:r>
          <w:rPr>
            <w:rStyle w:val="Hyperlink"/>
          </w:rPr>
          <w:t>Проблеми, свързани с изпълнението на програмата и приетите мерки</w:t>
        </w:r>
        <w:r>
          <w:tab/>
        </w:r>
        <w:r>
          <w:fldChar w:fldCharType="begin"/>
        </w:r>
        <w:r>
          <w:instrText xml:space="preserve"> PAGEREF _Toc256000017 \h </w:instrText>
        </w:r>
        <w:r>
          <w:fldChar w:fldCharType="separate"/>
        </w:r>
        <w:r>
          <w:t>68</w:t>
        </w:r>
        <w:r>
          <w:fldChar w:fldCharType="end"/>
        </w:r>
      </w:hyperlink>
    </w:p>
    <w:p>
      <w:pPr>
        <w:pStyle w:val="TOC2"/>
        <w:rPr>
          <w:rFonts w:asciiTheme="minorHAnsi" w:hAnsiTheme="minorHAnsi"/>
          <w:noProof/>
          <w:sz w:val="22"/>
        </w:rPr>
      </w:pPr>
      <w:hyperlink w:anchor="_Toc256000018" w:history="1">
        <w:r>
          <w:rPr>
            <w:rStyle w:val="Hyperlink"/>
          </w:rPr>
          <w:t>3.a)</w:t>
        </w:r>
        <w:r>
          <w:rPr>
            <w:rStyle w:val="Hyperlink"/>
          </w:rPr>
          <w:t xml:space="preserve"> </w:t>
        </w:r>
        <w:r>
          <w:rPr>
            <w:rStyle w:val="Hyperlink"/>
          </w:rPr>
          <w:t>Описание на предприетите стъпки за осигуряване на качеството и ефективността на изпълнението на програмата</w:t>
        </w:r>
        <w:r>
          <w:tab/>
        </w:r>
        <w:r>
          <w:fldChar w:fldCharType="begin"/>
        </w:r>
        <w:r>
          <w:instrText xml:space="preserve"> PAGEREF _Toc256000018 \h </w:instrText>
        </w:r>
        <w:r>
          <w:fldChar w:fldCharType="separate"/>
        </w:r>
        <w:r>
          <w:t>68</w:t>
        </w:r>
        <w:r>
          <w:fldChar w:fldCharType="end"/>
        </w:r>
      </w:hyperlink>
    </w:p>
    <w:p>
      <w:pPr>
        <w:pStyle w:val="TOC2"/>
        <w:rPr>
          <w:rFonts w:asciiTheme="minorHAnsi" w:hAnsiTheme="minorHAnsi"/>
          <w:noProof/>
          <w:sz w:val="22"/>
        </w:rPr>
      </w:pPr>
      <w:hyperlink w:anchor="_Toc256000019" w:history="1">
        <w:r>
          <w:rPr>
            <w:rStyle w:val="Hyperlink"/>
          </w:rPr>
          <w:t>3.b)</w:t>
        </w:r>
        <w:r>
          <w:rPr>
            <w:rStyle w:val="Hyperlink"/>
          </w:rPr>
          <w:t xml:space="preserve"> </w:t>
        </w:r>
        <w:r>
          <w:rPr>
            <w:rStyle w:val="Hyperlink"/>
          </w:rPr>
          <w:t>Качество и ефикасност на механизмите за изпълнение</w:t>
        </w:r>
        <w:r>
          <w:tab/>
        </w:r>
        <w:r>
          <w:fldChar w:fldCharType="begin"/>
        </w:r>
        <w:r>
          <w:instrText xml:space="preserve"> PAGEREF _Toc256000019 \h </w:instrText>
        </w:r>
        <w:r>
          <w:fldChar w:fldCharType="separate"/>
        </w:r>
        <w:r>
          <w:t>77</w:t>
        </w:r>
        <w:r>
          <w:fldChar w:fldCharType="end"/>
        </w:r>
      </w:hyperlink>
    </w:p>
    <w:p>
      <w:pPr>
        <w:pStyle w:val="TOC1"/>
        <w:rPr>
          <w:rFonts w:asciiTheme="minorHAnsi" w:hAnsiTheme="minorHAnsi"/>
          <w:noProof/>
          <w:sz w:val="22"/>
        </w:rPr>
      </w:pPr>
      <w:hyperlink w:anchor="_Toc256000020" w:history="1">
        <w:r>
          <w:rPr>
            <w:rStyle w:val="Hyperlink"/>
          </w:rPr>
          <w:t>4.</w:t>
        </w:r>
        <w:r>
          <w:rPr>
            <w:rStyle w:val="Hyperlink"/>
          </w:rPr>
          <w:t xml:space="preserve"> </w:t>
        </w:r>
        <w:r>
          <w:rPr>
            <w:rStyle w:val="Hyperlink"/>
          </w:rPr>
          <w:t>Стъпки, предприети за прилагане на техническата помощ и изискванията за публичност на програмите</w:t>
        </w:r>
        <w:r>
          <w:tab/>
        </w:r>
        <w:r>
          <w:fldChar w:fldCharType="begin"/>
        </w:r>
        <w:r>
          <w:instrText xml:space="preserve"> PAGEREF _Toc256000020 \h </w:instrText>
        </w:r>
        <w:r>
          <w:fldChar w:fldCharType="separate"/>
        </w:r>
        <w:r>
          <w:t>79</w:t>
        </w:r>
        <w:r>
          <w:fldChar w:fldCharType="end"/>
        </w:r>
      </w:hyperlink>
    </w:p>
    <w:p>
      <w:pPr>
        <w:pStyle w:val="TOC2"/>
        <w:rPr>
          <w:rFonts w:asciiTheme="minorHAnsi" w:hAnsiTheme="minorHAnsi"/>
          <w:noProof/>
          <w:sz w:val="22"/>
        </w:rPr>
      </w:pPr>
      <w:hyperlink w:anchor="_Toc256000021" w:history="1">
        <w:r>
          <w:rPr>
            <w:rStyle w:val="Hyperlink"/>
          </w:rPr>
          <w:t>4.a)</w:t>
        </w:r>
        <w:r>
          <w:rPr>
            <w:rStyle w:val="Hyperlink"/>
          </w:rPr>
          <w:t xml:space="preserve"> </w:t>
        </w:r>
        <w:r>
          <w:rPr>
            <w:rStyle w:val="Hyperlink"/>
          </w:rPr>
          <w:t>Предприети действия и актуално състояние по отношение на създаването на НМСР и изпълнението на нейния план за действие</w:t>
        </w:r>
        <w:r>
          <w:tab/>
        </w:r>
        <w:r>
          <w:fldChar w:fldCharType="begin"/>
        </w:r>
        <w:r>
          <w:instrText xml:space="preserve"> PAGEREF _Toc256000021 \h </w:instrText>
        </w:r>
        <w:r>
          <w:fldChar w:fldCharType="separate"/>
        </w:r>
        <w:r>
          <w:t>79</w:t>
        </w:r>
        <w:r>
          <w:fldChar w:fldCharType="end"/>
        </w:r>
      </w:hyperlink>
    </w:p>
    <w:p>
      <w:pPr>
        <w:pStyle w:val="TOC3"/>
        <w:rPr>
          <w:rFonts w:asciiTheme="minorHAnsi" w:hAnsiTheme="minorHAnsi"/>
          <w:noProof/>
          <w:sz w:val="22"/>
        </w:rPr>
      </w:pPr>
      <w:hyperlink w:anchor="_Toc256000022" w:history="1">
        <w:r>
          <w:rPr>
            <w:rStyle w:val="Hyperlink"/>
          </w:rPr>
          <w:t>4.a1)</w:t>
        </w:r>
        <w:r>
          <w:rPr>
            <w:rStyle w:val="Hyperlink"/>
          </w:rPr>
          <w:t xml:space="preserve"> </w:t>
        </w:r>
        <w:r>
          <w:rPr>
            <w:rStyle w:val="Hyperlink"/>
          </w:rPr>
          <w:t>Предприети действия и актуално състояние по отношение на създаването на НМСР (структура на управление и звено за подкрепа на мрежата)</w:t>
        </w:r>
        <w:r>
          <w:tab/>
        </w:r>
        <w:r>
          <w:fldChar w:fldCharType="begin"/>
        </w:r>
        <w:r>
          <w:instrText xml:space="preserve"> PAGEREF _Toc256000022 \h </w:instrText>
        </w:r>
        <w:r>
          <w:fldChar w:fldCharType="separate"/>
        </w:r>
        <w:r>
          <w:t>79</w:t>
        </w:r>
        <w:r>
          <w:fldChar w:fldCharType="end"/>
        </w:r>
      </w:hyperlink>
    </w:p>
    <w:p>
      <w:pPr>
        <w:pStyle w:val="TOC3"/>
        <w:rPr>
          <w:rFonts w:asciiTheme="minorHAnsi" w:hAnsiTheme="minorHAnsi"/>
          <w:noProof/>
          <w:sz w:val="22"/>
        </w:rPr>
      </w:pPr>
      <w:hyperlink w:anchor="_Toc256000023" w:history="1">
        <w:r>
          <w:rPr>
            <w:rStyle w:val="Hyperlink"/>
          </w:rPr>
          <w:t>4.a2)</w:t>
        </w:r>
        <w:r>
          <w:rPr>
            <w:rStyle w:val="Hyperlink"/>
          </w:rPr>
          <w:t xml:space="preserve"> </w:t>
        </w:r>
        <w:r>
          <w:rPr>
            <w:rStyle w:val="Hyperlink"/>
          </w:rPr>
          <w:t>Предприетите действия и актуалното състояние по отношение на изпълнението на плана за действие</w:t>
        </w:r>
        <w:r>
          <w:tab/>
        </w:r>
        <w:r>
          <w:fldChar w:fldCharType="begin"/>
        </w:r>
        <w:r>
          <w:instrText xml:space="preserve"> PAGEREF _Toc256000023 \h </w:instrText>
        </w:r>
        <w:r>
          <w:fldChar w:fldCharType="separate"/>
        </w:r>
        <w:r>
          <w:t>80</w:t>
        </w:r>
        <w:r>
          <w:fldChar w:fldCharType="end"/>
        </w:r>
      </w:hyperlink>
    </w:p>
    <w:p>
      <w:pPr>
        <w:pStyle w:val="TOC2"/>
        <w:rPr>
          <w:rFonts w:asciiTheme="minorHAnsi" w:hAnsiTheme="minorHAnsi"/>
          <w:noProof/>
          <w:sz w:val="22"/>
        </w:rPr>
      </w:pPr>
      <w:hyperlink w:anchor="_Toc256000024" w:history="1">
        <w:r>
          <w:rPr>
            <w:rStyle w:val="Hyperlink"/>
          </w:rPr>
          <w:t>4.b)</w:t>
        </w:r>
        <w:r>
          <w:rPr>
            <w:rStyle w:val="Hyperlink"/>
          </w:rPr>
          <w:t xml:space="preserve"> </w:t>
        </w:r>
        <w:r>
          <w:rPr>
            <w:rStyle w:val="Hyperlink"/>
          </w:rPr>
          <w:t>Стъпки, предприети за осигуряване на публичност на програмата (член 13 от Регламент за изпълнение (ЕС) № 808/2014 на Комисията)</w:t>
        </w:r>
        <w:r>
          <w:tab/>
        </w:r>
        <w:r>
          <w:fldChar w:fldCharType="begin"/>
        </w:r>
        <w:r>
          <w:instrText xml:space="preserve"> PAGEREF _Toc256000024 \h </w:instrText>
        </w:r>
        <w:r>
          <w:fldChar w:fldCharType="separate"/>
        </w:r>
        <w:r>
          <w:t>82</w:t>
        </w:r>
        <w:r>
          <w:fldChar w:fldCharType="end"/>
        </w:r>
      </w:hyperlink>
    </w:p>
    <w:p>
      <w:pPr>
        <w:pStyle w:val="TOC1"/>
        <w:rPr>
          <w:rFonts w:asciiTheme="minorHAnsi" w:hAnsiTheme="minorHAnsi"/>
          <w:noProof/>
          <w:sz w:val="22"/>
        </w:rPr>
      </w:pPr>
      <w:hyperlink w:anchor="_Toc256000025" w:history="1">
        <w:r>
          <w:rPr>
            <w:rStyle w:val="Hyperlink"/>
          </w:rPr>
          <w:t>5.</w:t>
        </w:r>
        <w:r>
          <w:rPr>
            <w:rStyle w:val="Hyperlink"/>
          </w:rPr>
          <w:t xml:space="preserve"> </w:t>
        </w:r>
        <w:r>
          <w:rPr>
            <w:rStyle w:val="Hyperlink"/>
          </w:rPr>
          <w:t>Действия, предприети за изпълнение на предварителните условия</w:t>
        </w:r>
        <w:r>
          <w:tab/>
        </w:r>
        <w:r>
          <w:fldChar w:fldCharType="begin"/>
        </w:r>
        <w:r>
          <w:instrText xml:space="preserve"> PAGEREF _Toc256000025 \h </w:instrText>
        </w:r>
        <w:r>
          <w:fldChar w:fldCharType="separate"/>
        </w:r>
        <w:r>
          <w:t>84</w:t>
        </w:r>
        <w:r>
          <w:fldChar w:fldCharType="end"/>
        </w:r>
      </w:hyperlink>
    </w:p>
    <w:p>
      <w:pPr>
        <w:pStyle w:val="TOC1"/>
        <w:rPr>
          <w:rFonts w:asciiTheme="minorHAnsi" w:hAnsiTheme="minorHAnsi"/>
          <w:noProof/>
          <w:sz w:val="22"/>
        </w:rPr>
      </w:pPr>
      <w:hyperlink w:anchor="_Toc256000026" w:history="1">
        <w:r>
          <w:rPr>
            <w:rStyle w:val="Hyperlink"/>
          </w:rPr>
          <w:t>6.</w:t>
        </w:r>
        <w:r>
          <w:rPr>
            <w:rStyle w:val="Hyperlink"/>
          </w:rPr>
          <w:t xml:space="preserve"> </w:t>
        </w:r>
        <w:r>
          <w:rPr>
            <w:rStyle w:val="Hyperlink"/>
          </w:rPr>
          <w:t>Описание на изпълнението на подпрограмите</w:t>
        </w:r>
        <w:r>
          <w:tab/>
        </w:r>
        <w:r>
          <w:fldChar w:fldCharType="begin"/>
        </w:r>
        <w:r>
          <w:instrText xml:space="preserve"> PAGEREF _Toc256000026 \h </w:instrText>
        </w:r>
        <w:r>
          <w:fldChar w:fldCharType="separate"/>
        </w:r>
        <w:r>
          <w:t>85</w:t>
        </w:r>
        <w:r>
          <w:fldChar w:fldCharType="end"/>
        </w:r>
      </w:hyperlink>
    </w:p>
    <w:p>
      <w:pPr>
        <w:pStyle w:val="TOC1"/>
        <w:rPr>
          <w:rFonts w:asciiTheme="minorHAnsi" w:hAnsiTheme="minorHAnsi"/>
          <w:noProof/>
          <w:sz w:val="22"/>
        </w:rPr>
      </w:pPr>
      <w:hyperlink w:anchor="_Toc256000027" w:history="1">
        <w:r>
          <w:rPr>
            <w:rStyle w:val="Hyperlink"/>
          </w:rPr>
          <w:t>7.</w:t>
        </w:r>
        <w:r>
          <w:rPr>
            <w:rStyle w:val="Hyperlink"/>
          </w:rPr>
          <w:t xml:space="preserve"> </w:t>
        </w:r>
        <w:r>
          <w:rPr>
            <w:rStyle w:val="Hyperlink"/>
          </w:rPr>
          <w:t>Оценка на информацията и напредъка в постигането на целите на програмата</w:t>
        </w:r>
        <w:r>
          <w:tab/>
        </w:r>
        <w:r>
          <w:fldChar w:fldCharType="begin"/>
        </w:r>
        <w:r>
          <w:instrText xml:space="preserve"> PAGEREF _Toc256000027 \h </w:instrText>
        </w:r>
        <w:r>
          <w:fldChar w:fldCharType="separate"/>
        </w:r>
        <w:r>
          <w:t>86</w:t>
        </w:r>
        <w:r>
          <w:fldChar w:fldCharType="end"/>
        </w:r>
      </w:hyperlink>
    </w:p>
    <w:p>
      <w:pPr>
        <w:pStyle w:val="TOC1"/>
        <w:rPr>
          <w:rFonts w:asciiTheme="minorHAnsi" w:hAnsiTheme="minorHAnsi"/>
          <w:noProof/>
          <w:sz w:val="22"/>
        </w:rPr>
      </w:pPr>
      <w:hyperlink w:anchor="_Toc256000028" w:history="1">
        <w:r>
          <w:rPr>
            <w:rStyle w:val="Hyperlink"/>
          </w:rPr>
          <w:t>8.</w:t>
        </w:r>
        <w:r>
          <w:rPr>
            <w:rStyle w:val="Hyperlink"/>
          </w:rPr>
          <w:t xml:space="preserve"> </w:t>
        </w:r>
        <w:r>
          <w:rPr>
            <w:rStyle w:val="Hyperlink"/>
          </w:rPr>
          <w:t>Изпълнение на дейности с цел отчитане на принципите, определени в членове 5, 7 и 8 от Регламент (ЕС) № 1303/2013</w:t>
        </w:r>
        <w:r>
          <w:tab/>
        </w:r>
        <w:r>
          <w:fldChar w:fldCharType="begin"/>
        </w:r>
        <w:r>
          <w:instrText xml:space="preserve"> PAGEREF _Toc256000028 \h </w:instrText>
        </w:r>
        <w:r>
          <w:fldChar w:fldCharType="separate"/>
        </w:r>
        <w:r>
          <w:t>87</w:t>
        </w:r>
        <w:r>
          <w:fldChar w:fldCharType="end"/>
        </w:r>
      </w:hyperlink>
    </w:p>
    <w:p>
      <w:pPr>
        <w:pStyle w:val="TOC1"/>
        <w:rPr>
          <w:rFonts w:asciiTheme="minorHAnsi" w:hAnsiTheme="minorHAnsi"/>
          <w:noProof/>
          <w:sz w:val="22"/>
        </w:rPr>
      </w:pPr>
      <w:hyperlink w:anchor="_Toc256000029" w:history="1">
        <w:r>
          <w:rPr>
            <w:rStyle w:val="Hyperlink"/>
          </w:rPr>
          <w:t>9.</w:t>
        </w:r>
        <w:r>
          <w:rPr>
            <w:rStyle w:val="Hyperlink"/>
          </w:rPr>
          <w:t xml:space="preserve"> </w:t>
        </w:r>
        <w:r>
          <w:rPr>
            <w:rStyle w:val="Hyperlink"/>
          </w:rPr>
          <w:t>Напредък в осигуряването на интегриран подход при използването на ЕЗФРСР и на други финансови инструменти на ЕС</w:t>
        </w:r>
        <w:r>
          <w:tab/>
        </w:r>
        <w:r>
          <w:fldChar w:fldCharType="begin"/>
        </w:r>
        <w:r>
          <w:instrText xml:space="preserve"> PAGEREF _Toc256000029 \h </w:instrText>
        </w:r>
        <w:r>
          <w:fldChar w:fldCharType="separate"/>
        </w:r>
        <w:r>
          <w:t>89</w:t>
        </w:r>
        <w:r>
          <w:fldChar w:fldCharType="end"/>
        </w:r>
      </w:hyperlink>
    </w:p>
    <w:p>
      <w:pPr>
        <w:pStyle w:val="TOC1"/>
        <w:rPr>
          <w:rFonts w:asciiTheme="minorHAnsi" w:hAnsiTheme="minorHAnsi"/>
          <w:noProof/>
          <w:sz w:val="22"/>
        </w:rPr>
      </w:pPr>
      <w:hyperlink w:anchor="_Toc256000030" w:history="1">
        <w:r>
          <w:rPr>
            <w:rStyle w:val="Hyperlink"/>
          </w:rPr>
          <w:t>10.</w:t>
        </w:r>
        <w:r>
          <w:rPr>
            <w:rStyle w:val="Hyperlink"/>
          </w:rPr>
          <w:t xml:space="preserve"> </w:t>
        </w:r>
        <w:r>
          <w:rPr>
            <w:rStyle w:val="Hyperlink"/>
          </w:rPr>
          <w:t>Доклад за изпълнението на финансовите инструменти (член 46 от Регламент (ЕС) № 1303/2013)</w:t>
        </w:r>
        <w:r>
          <w:tab/>
        </w:r>
        <w:r>
          <w:fldChar w:fldCharType="begin"/>
        </w:r>
        <w:r>
          <w:instrText xml:space="preserve"> PAGEREF _Toc256000030 \h </w:instrText>
        </w:r>
        <w:r>
          <w:fldChar w:fldCharType="separate"/>
        </w:r>
        <w:r>
          <w:t>90</w:t>
        </w:r>
        <w:r>
          <w:fldChar w:fldCharType="end"/>
        </w:r>
      </w:hyperlink>
    </w:p>
    <w:p>
      <w:pPr>
        <w:pStyle w:val="TOC1"/>
        <w:rPr>
          <w:rFonts w:asciiTheme="minorHAnsi" w:hAnsiTheme="minorHAnsi"/>
          <w:noProof/>
          <w:sz w:val="22"/>
        </w:rPr>
      </w:pPr>
      <w:hyperlink w:anchor="_Toc256000031" w:history="1">
        <w:r>
          <w:rPr>
            <w:rStyle w:val="Hyperlink"/>
          </w:rPr>
          <w:t>11.</w:t>
        </w:r>
        <w:r>
          <w:rPr>
            <w:rStyle w:val="Hyperlink"/>
          </w:rPr>
          <w:t xml:space="preserve"> </w:t>
        </w:r>
        <w:r>
          <w:rPr>
            <w:rStyle w:val="Hyperlink"/>
          </w:rPr>
          <w:t>Кодиращи таблици за общи и специфични за програмата показатели и количествени целеви стойности</w:t>
        </w:r>
        <w:r>
          <w:tab/>
        </w:r>
        <w:r>
          <w:fldChar w:fldCharType="begin"/>
        </w:r>
        <w:r>
          <w:instrText xml:space="preserve"> PAGEREF _Toc256000031 \h </w:instrText>
        </w:r>
        <w:r>
          <w:fldChar w:fldCharType="separate"/>
        </w:r>
        <w:r>
          <w:t>97</w:t>
        </w:r>
        <w:r>
          <w:fldChar w:fldCharType="end"/>
        </w:r>
      </w:hyperlink>
    </w:p>
    <w:p>
      <w:pPr>
        <w:pStyle w:val="TOC2"/>
        <w:rPr>
          <w:rFonts w:asciiTheme="minorHAnsi" w:hAnsiTheme="minorHAnsi"/>
          <w:noProof/>
          <w:sz w:val="22"/>
        </w:rPr>
      </w:pPr>
      <w:hyperlink w:anchor="_Toc256000032" w:history="1">
        <w:r>
          <w:rPr>
            <w:rStyle w:val="Hyperlink"/>
          </w:rPr>
          <w:t>Приложение II</w:t>
        </w:r>
        <w:r>
          <w:tab/>
        </w:r>
        <w:r>
          <w:fldChar w:fldCharType="begin"/>
        </w:r>
        <w:r>
          <w:instrText xml:space="preserve"> PAGEREF _Toc256000032 \h </w:instrText>
        </w:r>
        <w:r>
          <w:fldChar w:fldCharType="separate"/>
        </w:r>
        <w:r>
          <w:t>98</w:t>
        </w:r>
        <w:r>
          <w:fldChar w:fldCharType="end"/>
        </w:r>
      </w:hyperlink>
    </w:p>
    <w:p>
      <w:pPr>
        <w:pStyle w:val="TOC2"/>
        <w:rPr>
          <w:rFonts w:asciiTheme="minorHAnsi" w:hAnsiTheme="minorHAnsi"/>
          <w:noProof/>
          <w:sz w:val="22"/>
        </w:rPr>
      </w:pPr>
      <w:hyperlink w:anchor="_Toc256000033" w:history="1">
        <w:r>
          <w:rPr>
            <w:rStyle w:val="Hyperlink"/>
          </w:rPr>
          <w:t>Документи</w:t>
        </w:r>
        <w:r>
          <w:tab/>
        </w:r>
        <w:r>
          <w:fldChar w:fldCharType="begin"/>
        </w:r>
        <w:r>
          <w:instrText xml:space="preserve"> PAGEREF _Toc256000033 \h </w:instrText>
        </w:r>
        <w:r>
          <w:fldChar w:fldCharType="separate"/>
        </w:r>
        <w:r>
          <w:t>121</w:t>
        </w:r>
        <w:r>
          <w:fldChar w:fldCharType="end"/>
        </w:r>
      </w:hyperlink>
    </w:p>
    <w:p>
      <w:pPr>
        <w:sectPr>
          <w:pgMar w:top="900" w:right="900" w:bottom="900" w:left="900" w:header="720" w:footer="720"/>
          <w:cols w:space="720"/>
        </w:sectPr>
      </w:pPr>
      <w:r>
        <w:fldChar w:fldCharType="end"/>
      </w:r>
    </w:p>
    <w:p>
      <w:pPr>
        <w:pStyle w:val="Heading1"/>
      </w:pPr>
      <w:bookmarkStart w:id="0" w:name="_Toc256000000"/>
      <w:r>
        <w:t>Ключова информация относно изпълнението на програмата и нейните приоритети</w:t>
      </w:r>
      <w:bookmarkEnd w:id="0"/>
    </w:p>
    <w:p>
      <w:pPr>
        <w:pStyle w:val="Heading2"/>
      </w:pPr>
      <w:bookmarkStart w:id="1" w:name="_Toc256000001"/>
      <w:r>
        <w:t>Финансови данни</w:t>
      </w:r>
      <w:bookmarkEnd w:id="1"/>
    </w:p>
    <w:p>
      <w:r>
        <w:t>Вж. приложените документи</w:t>
      </w:r>
    </w:p>
    <w:p>
      <w:pPr>
        <w:pStyle w:val="Heading2"/>
      </w:pPr>
      <w:bookmarkStart w:id="2" w:name="_Toc256000002"/>
      <w:r>
        <w:t>Общи и специфични за програмата показатели и количествени целеви стойности</w:t>
      </w:r>
      <w:bookmarkEnd w:id="2"/>
    </w:p>
    <w:p>
      <w:pPr>
        <w:pStyle w:val="Heading3"/>
        <w:jc w:val="left"/>
        <w:rPr>
          <w:b w:val="0"/>
        </w:rPr>
      </w:pPr>
      <w:bookmarkStart w:id="3" w:name="_Toc256000003"/>
      <w:r>
        <w:rPr>
          <w:b w:val="0"/>
        </w:rPr>
        <w:t>Таблица с общ преглед</w:t>
      </w:r>
      <w:bookmarkEnd w:id="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605"/>
        <w:gridCol w:w="1042"/>
        <w:gridCol w:w="1563"/>
        <w:gridCol w:w="1042"/>
        <w:gridCol w:w="1563"/>
        <w:gridCol w:w="1042"/>
        <w:gridCol w:w="156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7"/>
            <w:shd w:val="clear" w:color="auto" w:fill="808080"/>
          </w:tcPr>
          <w:p>
            <w:pPr>
              <w:keepNext/>
              <w:spacing w:before="60" w:after="60"/>
              <w:jc w:val="center"/>
              <w:rPr>
                <w:b/>
                <w:sz w:val="20"/>
              </w:rPr>
            </w:pPr>
            <w:r>
              <w:rPr>
                <w:b/>
                <w:sz w:val="20"/>
              </w:rPr>
              <w:t>Акцентирана област 1A</w:t>
            </w:r>
          </w:p>
        </w:tc>
      </w:tr>
      <w:tr>
        <w:tblPrEx>
          <w:tblW w:w="5000" w:type="pct"/>
          <w:tblCellMar>
            <w:left w:w="108" w:type="dxa"/>
            <w:right w:w="108" w:type="dxa"/>
          </w:tblCellMar>
        </w:tblPrEx>
        <w:tc>
          <w:tcPr>
            <w:tcW w:w="500" w:type="pct"/>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shd w:val="clear" w:color="auto" w:fill="C0C0C0"/>
            <w:vAlign w:val="center"/>
          </w:tcPr>
          <w:p>
            <w:pPr>
              <w:keepNext/>
              <w:spacing w:before="60" w:after="60"/>
              <w:jc w:val="center"/>
              <w:rPr>
                <w:b w:val="0"/>
                <w:sz w:val="16"/>
              </w:rPr>
            </w:pPr>
            <w:r>
              <w:rPr>
                <w:b w:val="0"/>
                <w:sz w:val="16"/>
              </w:rPr>
              <w:t>Период</w:t>
            </w:r>
          </w:p>
        </w:tc>
        <w:tc>
          <w:tcPr>
            <w:tcW w:w="500" w:type="pct"/>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shd w:val="clear" w:color="auto" w:fill="C0C0C0"/>
            <w:vAlign w:val="center"/>
          </w:tcPr>
          <w:p>
            <w:pPr>
              <w:keepNext/>
              <w:spacing w:before="60" w:after="60"/>
              <w:jc w:val="center"/>
              <w:rPr>
                <w:b w:val="0"/>
                <w:sz w:val="16"/>
              </w:rPr>
            </w:pPr>
            <w:r>
              <w:rPr>
                <w:b w:val="0"/>
                <w:sz w:val="16"/>
              </w:rPr>
              <w:t>Усвояване (%)</w:t>
            </w:r>
          </w:p>
        </w:tc>
        <w:tc>
          <w:tcPr>
            <w:tcW w:w="500" w:type="pct"/>
            <w:shd w:val="clear" w:color="auto" w:fill="C0C0C0"/>
            <w:vAlign w:val="center"/>
          </w:tcPr>
          <w:p>
            <w:pPr>
              <w:keepNext/>
              <w:spacing w:before="60" w:after="60"/>
              <w:jc w:val="center"/>
              <w:rPr>
                <w:b w:val="0"/>
                <w:sz w:val="16"/>
              </w:rPr>
            </w:pPr>
            <w:r>
              <w:rPr>
                <w:b w:val="0"/>
                <w:sz w:val="16"/>
              </w:rPr>
              <w:t>Реализирани</w:t>
            </w:r>
          </w:p>
        </w:tc>
        <w:tc>
          <w:tcPr>
            <w:tcW w:w="500" w:type="pct"/>
            <w:shd w:val="clear" w:color="auto" w:fill="C0C0C0"/>
            <w:vAlign w:val="center"/>
          </w:tcPr>
          <w:p>
            <w:pPr>
              <w:keepNext/>
              <w:spacing w:before="60" w:after="60"/>
              <w:jc w:val="center"/>
              <w:rPr>
                <w:b w:val="0"/>
                <w:sz w:val="16"/>
              </w:rPr>
            </w:pPr>
            <w:r>
              <w:rPr>
                <w:b w:val="0"/>
                <w:sz w:val="16"/>
              </w:rPr>
              <w:t>Усвояване (%)</w:t>
            </w:r>
          </w:p>
        </w:tc>
        <w:tc>
          <w:tcPr>
            <w:tcW w:w="500" w:type="pct"/>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vMerge w:val="restart"/>
            <w:shd w:val="clear" w:color="auto" w:fill="FFFFFF"/>
            <w:vAlign w:val="center"/>
          </w:tcPr>
          <w:p>
            <w:pPr>
              <w:keepNext/>
              <w:spacing w:before="60" w:after="6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0,41</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16,98</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2,41</w:t>
            </w: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0,33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13,67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0,29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12,01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0,23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9,53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7,46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4,56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spacing w:before="60" w:after="60"/>
              <w:jc w:val="left"/>
              <w:rPr>
                <w:b w:val="0"/>
                <w:sz w:val="16"/>
              </w:rPr>
            </w:pP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vMerge/>
            <w:tcBorders>
              <w:bottom w:val="single" w:sz="4" w:space="0" w:color="auto"/>
            </w:tcBorders>
            <w:shd w:val="clear" w:color="auto" w:fill="FFFFFF"/>
            <w:vAlign w:val="center"/>
          </w:tcPr>
          <w:p>
            <w:pPr>
              <w:spacing w:before="60" w:after="60"/>
              <w:jc w:val="right"/>
              <w:rPr>
                <w:b w:val="0"/>
                <w:sz w:val="16"/>
              </w:rPr>
            </w:pP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605"/>
        <w:gridCol w:w="1042"/>
        <w:gridCol w:w="1563"/>
        <w:gridCol w:w="1042"/>
        <w:gridCol w:w="1563"/>
        <w:gridCol w:w="1042"/>
        <w:gridCol w:w="156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7"/>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1B</w:t>
            </w:r>
          </w:p>
        </w:tc>
      </w:tr>
      <w:tr>
        <w:tblPrEx>
          <w:tblW w:w="5000" w:type="pct"/>
          <w:tblCellMar>
            <w:left w:w="108" w:type="dxa"/>
            <w:right w:w="108" w:type="dxa"/>
          </w:tblCellMar>
        </w:tblPrEx>
        <w:trPr>
          <w:trHeight w:hRule="auto" w:val="0"/>
        </w:trPr>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vMerge w:val="restart"/>
            <w:tcBorders>
              <w:bottom w:val="single" w:sz="4" w:space="0" w:color="auto"/>
            </w:tcBorders>
            <w:shd w:val="clear" w:color="auto" w:fill="FFFFFF"/>
            <w:vAlign w:val="center"/>
          </w:tcPr>
          <w:p>
            <w:pPr>
              <w:keepNext/>
              <w:spacing w:before="60" w:after="6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470,00</w:t>
            </w: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spacing w:before="60" w:after="60"/>
              <w:jc w:val="left"/>
              <w:rPr>
                <w:b w:val="0"/>
                <w:sz w:val="16"/>
              </w:rPr>
            </w:pP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vMerge/>
            <w:tcBorders>
              <w:bottom w:val="single" w:sz="4" w:space="0" w:color="auto"/>
            </w:tcBorders>
            <w:shd w:val="clear" w:color="auto" w:fill="FFFFFF"/>
            <w:vAlign w:val="center"/>
          </w:tcPr>
          <w:p>
            <w:pPr>
              <w:spacing w:before="60" w:after="60"/>
              <w:jc w:val="right"/>
              <w:rPr>
                <w:b w:val="0"/>
                <w:sz w:val="16"/>
              </w:rPr>
            </w:pP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605"/>
        <w:gridCol w:w="1042"/>
        <w:gridCol w:w="1563"/>
        <w:gridCol w:w="1042"/>
        <w:gridCol w:w="1563"/>
        <w:gridCol w:w="1042"/>
        <w:gridCol w:w="156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7"/>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1C</w:t>
            </w:r>
          </w:p>
        </w:tc>
      </w:tr>
      <w:tr>
        <w:tblPrEx>
          <w:tblW w:w="5000" w:type="pct"/>
          <w:tblCellMar>
            <w:left w:w="108" w:type="dxa"/>
            <w:right w:w="108" w:type="dxa"/>
          </w:tblCellMar>
        </w:tblPrEx>
        <w:trPr>
          <w:trHeight w:hRule="auto" w:val="0"/>
        </w:trPr>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vMerge w:val="restart"/>
            <w:tcBorders>
              <w:bottom w:val="single" w:sz="4" w:space="0" w:color="auto"/>
            </w:tcBorders>
            <w:shd w:val="clear" w:color="auto" w:fill="FFFFFF"/>
            <w:vAlign w:val="center"/>
          </w:tcPr>
          <w:p>
            <w:pPr>
              <w:keepNext/>
              <w:spacing w:before="60" w:after="6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2 030,00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42,29</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4 800,00</w:t>
            </w: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vMerge/>
            <w:tcBorders>
              <w:bottom w:val="single" w:sz="4" w:space="0" w:color="auto"/>
            </w:tcBorders>
            <w:shd w:val="clear" w:color="auto" w:fill="FFFFFF"/>
            <w:vAlign w:val="center"/>
          </w:tcPr>
          <w:p>
            <w:pPr>
              <w:spacing w:before="60" w:after="60"/>
              <w:jc w:val="left"/>
              <w:rPr>
                <w:b w:val="0"/>
                <w:sz w:val="16"/>
              </w:rPr>
            </w:pP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vMerge/>
            <w:tcBorders>
              <w:bottom w:val="single" w:sz="4" w:space="0" w:color="auto"/>
            </w:tcBorders>
            <w:shd w:val="clear" w:color="auto" w:fill="FFFFFF"/>
            <w:vAlign w:val="center"/>
          </w:tcPr>
          <w:p>
            <w:pPr>
              <w:spacing w:before="60" w:after="60"/>
              <w:jc w:val="right"/>
              <w:rPr>
                <w:b w:val="0"/>
                <w:sz w:val="16"/>
              </w:rPr>
            </w:pP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2A</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0,26</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48,16</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0,25</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46,31</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0,54</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0,25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46,31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0,25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46,31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0,29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53,72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0,22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40,75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0,29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53,72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0,38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70,39</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0,31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57,43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0,31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57,43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0,30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55,57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20,38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0,16</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29,64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7,41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2 556 630,00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51,13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0,09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9 421 915,00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98,19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2 549 981,10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26,57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9 595 431,80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694 418 500,00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193,27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176 748 722,67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49,19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359 290 503,70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88 685 508,00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105,65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63 859 059,00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76,07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83 945 294,10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4 998 376,00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34,74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445 006,07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3,09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14 388 889,00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M21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81 371 995,00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183,01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38 237 487,00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86,00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44 461 947,40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M22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23 284 568,00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83,16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28 000 000,00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904 737 492,00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166,10</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281 844 874,74</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51,74</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544 682 066,00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2B</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0,98</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98,13</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0,97</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97,13</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1,00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0,97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97,13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0,97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97,13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1,01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101,13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0,99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99,13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18 864,81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1 888 979,31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0,94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94,12</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73,10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73,10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0,74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74,10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0,74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74,10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0,42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42,06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1 651 824,00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82,59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0,23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3 349 888,00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102,93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1 655 313,10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50,86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3 254 531,80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181 604 050,00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216,06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53 075 886,82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63,15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84 052 971,50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120 957 000,00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112,30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70 938 849,00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65,86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107 713 021,10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307 562 762,00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156,11</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125 674 667,82</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63,79</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197 020 524,40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2C+</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Фирми, получили подпомагане  (брой)</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E6E6E6"/>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6,00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5,00</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120,00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M08</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20 451 104,00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110,55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979 214,46</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5,29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18 500 000,00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20 451 104,00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110,55</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979 214,46</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5,29</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18 500 000,00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3A</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0,12</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306,61</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0,12</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306,61</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0,04</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332,16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306,61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306,61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0,12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306,61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127,76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127,76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76,65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76,65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381 840,00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190,92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643 833,60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71,24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332 528,60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36,80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903 715,30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441 149 736,00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112,77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119 993 739,86</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30,67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391 194 274,90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5 257 548,00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M09</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16 771 469,00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180,02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5 744 060,70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61,65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9 316 502,00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40 255 163,00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162,31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16 115 129,73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64,97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24 802 124,70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1 425 098,00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69,33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153 768,01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7,48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2 055 555,60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500 627 139,60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115,42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142 344 146,63</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32,82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433 729 720,50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3B</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0,02</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E6E6E6"/>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203,00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101,50</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E6E6E6"/>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2 538 128,00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1 269,06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647 882,80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137,93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336 577,80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71,66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469 715,30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M05</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10 655 358,00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38,62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2 123 958,40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7,70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27 589 337,00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13 841 368,80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48,98</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2 465 455,93</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8,72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28 259 052,30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Приоритет P4</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0,25</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2,11</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160,06</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1,32</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169,16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169,16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2,28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172,95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2,48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188,12</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2,46</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186,61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102,41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2,11</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79,36</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2,66</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83,87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83,87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2,28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85,75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2,48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93,27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2,46</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92,52</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50,77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13,03</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107,40</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12,13</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14,19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116,96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13,82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113,91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13,94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114,90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13,60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112,09</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16,47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135,75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14,79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121,90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1 563 482,00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44,60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13 856,69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0,40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3 505 404,40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4 080 503,50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176,40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2 078 321,50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89,85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2 313 178,80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27 743 172,00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79,36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10 489 906,91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30,01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34 958 350,30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M08</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36 022 347,00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175,94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4 215 454,53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20,59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20 474 302,40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M10</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555 494 549,00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229,18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183 335 777,95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75,64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242 384 616,00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419 211 982,00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179,19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168 563 430,34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72,05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233 943 439,00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419 660 772,00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205,04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198 014 091,79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96,75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204 676 037,70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M13</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738 044 891,00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192,29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383 074 798,15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99,81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383 814 675,00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2 819 126,00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46,99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406 571,57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6,78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2 204 640 824,50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194,74</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950 192 209,43</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83,93</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1 132 070 003,60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5A</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38,72</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6,82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17,62</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1 772 974,00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44,32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0,12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467 089,20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134,06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239 431,20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68,72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348 412,90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11 491 478,00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15,43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2 726 705,10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3,66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74 465 860,00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792 497,00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71,32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71 586,32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6,44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1 111 111,10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14 524 038,20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18,17</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3 042 341,52</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3,81</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79 925 384,00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5B</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T15: общи инвестиции за енергийна ефективност (в евро) (област с поставен акцент 5Б)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269 485 411,00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64,31</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179 789 967,00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42,91</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419 024 651,40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233 163 689,00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55,64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157 799 514,37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37,66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156 313 715,13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37,30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100 171 594,00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23,91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86 645 751,01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20,68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18 659 464,00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4,45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55 240 936,00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13,18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7 750 600,00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1,85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13 557 418,00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3,24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8 612 674,23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2,06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3 442 239,96</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0,82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442 716,77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0,11</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234 478,00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9,20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2 550 000,00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206 245 834,00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88,29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86 071 554,53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36,84</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233 605 405,00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457 612,00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41,19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38 578,35</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3,47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1 111 111,10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208 498 076,00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87,51</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86 915 554,61</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36,48</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238 252 422,00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5C</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6 015 773,22</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3,90</w:t>
            </w: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2 658 229,00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1,72</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154 266 117,00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10 207 875,38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6,62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10 207 875,00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6,62</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13 126 087,93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8,51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8 971 153,00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5,82</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430 701,00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0,28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430 701,00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0,28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4 445 644,00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2,88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298 382,00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0,19</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3 679 321,00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2,39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2 616 176,94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1,70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435 866,93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0,28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435 866,93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0,28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300 596,00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54,65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0,89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550 000,00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5 942 845,00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13,88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1 326 708,34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3,10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42 829 679,00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M07</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1 508 549,00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70 000 000,00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874 010,00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78,66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139 422,58</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12,55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1 111 111,10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10 186 152,00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8,82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2 271 552,65</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1,97</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115 476 696,00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5D</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0,70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447,55</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0,16</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0,70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447,55</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0,62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396,40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0,64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409,19</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0,67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428,37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0,63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402,80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0,54</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345,26</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0,09</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51,73</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0,17</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419 488,00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11,35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0,13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3 694 595,00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3 574 152,00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273,53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715 079,00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54,73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1 306 660,00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M10</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68 942 657,00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172,36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32 793 444,59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81,98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40 000 000,00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457 870,00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41,21</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79 438,71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7,15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1 111 111,10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74 954 319,00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159,14</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34 393 384,03</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73,02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47 098 272,00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5E</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0,00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1 011 664,00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77,82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0,38</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1 300 000,00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M08</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3 085 433,00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76,60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583 748,00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14,49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4 028 170,80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43 054,00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3,87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1 111 111,10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5 700 303,00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76,77</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1 389 169,73</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18,71</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7 425 187,80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6A</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T20: работни места, разкрити в подпомогнатите проекти (област с поставен акцент 6А)</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2 094,00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59,83</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3 500,00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1 882,00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53,77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1 224,00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34,97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972,00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27,77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706,00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20,17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234,00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6,69</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74 098 097,00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93,17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8 088 440,00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10,17</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79 526 861,20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M21</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3 890 357,00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100,26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3 880 358,00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100,00</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3 880 357,50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M22</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4 963 500,00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77 988 454,00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88,25</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11 968 798,00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13,54</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88 370 718,70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6B</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216,00</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36,00</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600,00</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70,34</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210,87</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33,36</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46,09</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138,17</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38,06</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114,10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16,21</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48,59</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4,57</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13,70</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r>
              <w:rPr>
                <w:b w:val="0"/>
                <w:sz w:val="16"/>
              </w:rPr>
              <w:t>27,53</w:t>
            </w:r>
          </w:p>
        </w:tc>
        <w:tc>
          <w:tcPr>
            <w:tcW w:w="500" w:type="pct"/>
            <w:tcBorders>
              <w:bottom w:val="dashSmallGap" w:sz="4" w:space="0" w:color="auto"/>
            </w:tcBorders>
            <w:shd w:val="clear" w:color="auto" w:fill="FFFFFF"/>
            <w:vAlign w:val="center"/>
          </w:tcPr>
          <w:p>
            <w:pPr>
              <w:keepNext/>
              <w:spacing w:before="60" w:after="60"/>
              <w:jc w:val="right"/>
              <w:rPr>
                <w:b w:val="0"/>
                <w:sz w:val="16"/>
              </w:rPr>
            </w:pPr>
            <w:r>
              <w:rPr>
                <w:b w:val="0"/>
                <w:sz w:val="16"/>
              </w:rPr>
              <w:t>120,18</w:t>
            </w: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22,91</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16,42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71,68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16,42</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71,68</w:t>
            </w: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M07</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1 294 352 655,00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213,36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495 232 868,00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81,63</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606 663 542,40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M19</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284 114 869,10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167,76</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44 695 340,00</w:t>
            </w:r>
          </w:p>
        </w:tc>
        <w:tc>
          <w:tcPr>
            <w:tcW w:w="500" w:type="pct"/>
            <w:tcBorders>
              <w:bottom w:val="single" w:sz="4" w:space="0" w:color="auto"/>
            </w:tcBorders>
            <w:shd w:val="clear" w:color="auto" w:fill="FFFFFF"/>
            <w:vAlign w:val="center"/>
          </w:tcPr>
          <w:p>
            <w:pPr>
              <w:keepNext/>
              <w:spacing w:before="60" w:after="60"/>
              <w:jc w:val="right"/>
              <w:rPr>
                <w:b w:val="0"/>
                <w:sz w:val="16"/>
              </w:rPr>
            </w:pPr>
            <w:r>
              <w:rPr>
                <w:b w:val="0"/>
                <w:sz w:val="16"/>
              </w:rPr>
              <w:t>26,39</w:t>
            </w: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169 356 172,40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1 578 467 524,10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203,41</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539 928 208,00</w:t>
            </w:r>
          </w:p>
        </w:tc>
        <w:tc>
          <w:tcPr>
            <w:tcW w:w="500" w:type="pct"/>
            <w:tcBorders>
              <w:bottom w:val="single" w:sz="4" w:space="0" w:color="auto"/>
            </w:tcBorders>
            <w:shd w:val="clear" w:color="auto" w:fill="FFFFFF"/>
            <w:vAlign w:val="center"/>
          </w:tcPr>
          <w:p>
            <w:pPr>
              <w:spacing w:before="60" w:after="60"/>
              <w:jc w:val="right"/>
              <w:rPr>
                <w:b w:val="0"/>
                <w:sz w:val="16"/>
              </w:rPr>
            </w:pPr>
            <w:r>
              <w:rPr>
                <w:b w:val="0"/>
                <w:sz w:val="16"/>
              </w:rPr>
              <w:t>69,58</w:t>
            </w: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776 019 714,80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81"/>
        <w:gridCol w:w="2163"/>
        <w:gridCol w:w="1311"/>
        <w:gridCol w:w="1431"/>
        <w:gridCol w:w="1014"/>
        <w:gridCol w:w="1420"/>
        <w:gridCol w:w="1014"/>
        <w:gridCol w:w="138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vAlign w:val="center"/>
          </w:tcPr>
          <w:p>
            <w:pPr>
              <w:keepNext/>
              <w:spacing w:before="60" w:after="60"/>
              <w:jc w:val="center"/>
              <w:rPr>
                <w:b/>
                <w:sz w:val="20"/>
              </w:rPr>
            </w:pPr>
            <w:r>
              <w:rPr>
                <w:b/>
                <w:sz w:val="20"/>
              </w:rPr>
              <w:t>Акцентирана област 6C</w:t>
            </w:r>
          </w:p>
        </w:tc>
      </w:tr>
      <w:tr>
        <w:tblPrEx>
          <w:tblW w:w="5000" w:type="pct"/>
          <w:tblCellMar>
            <w:left w:w="108" w:type="dxa"/>
            <w:right w:w="108" w:type="dxa"/>
          </w:tblCellMar>
        </w:tblPrEx>
        <w:trPr>
          <w:trHeight w:hRule="auto" w:val="0"/>
        </w:trPr>
        <w:tc>
          <w:tcPr>
            <w:tcW w:w="500" w:type="pct"/>
            <w:gridSpan w:val="2"/>
            <w:tcBorders>
              <w:bottom w:val="single" w:sz="4" w:space="0" w:color="auto"/>
            </w:tcBorders>
            <w:shd w:val="clear" w:color="auto" w:fill="C0C0C0"/>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val="500"/>
        </w:trPr>
        <w:tc>
          <w:tcPr>
            <w:tcW w:w="1250" w:type="pct"/>
            <w:gridSpan w:val="2"/>
            <w:vMerge w:val="restart"/>
            <w:tcBorders>
              <w:bottom w:val="single" w:sz="4" w:space="0" w:color="auto"/>
            </w:tcBorders>
            <w:shd w:val="clear" w:color="auto" w:fill="FFFFFF"/>
            <w:vAlign w:val="center"/>
          </w:tcPr>
          <w:p>
            <w:pPr>
              <w:keepNext/>
              <w:spacing w:before="60" w:after="6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tcBorders>
              <w:bottom w:val="dashSmallGap" w:sz="4" w:space="0" w:color="auto"/>
            </w:tcBorders>
            <w:shd w:val="clear" w:color="auto" w:fill="FFFFFF"/>
            <w:vAlign w:val="center"/>
          </w:tcPr>
          <w:p>
            <w:pPr>
              <w:keepNext/>
              <w:spacing w:before="60" w:after="60"/>
              <w:jc w:val="right"/>
              <w:rPr>
                <w:b w:val="0"/>
                <w:sz w:val="16"/>
              </w:rPr>
            </w:pPr>
          </w:p>
        </w:tc>
        <w:tc>
          <w:tcPr>
            <w:tcW w:w="500" w:type="pct"/>
            <w:tcBorders>
              <w:bottom w:val="dashSmallGap" w:sz="4" w:space="0" w:color="auto"/>
            </w:tcBorders>
            <w:shd w:val="clear" w:color="auto" w:fill="FFFFFF"/>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vAlign w:val="center"/>
          </w:tcPr>
          <w:p>
            <w:pPr>
              <w:keepNext/>
              <w:spacing w:before="60" w:after="60"/>
              <w:jc w:val="right"/>
              <w:rPr>
                <w:b w:val="0"/>
                <w:sz w:val="16"/>
              </w:rPr>
            </w:pPr>
            <w:r>
              <w:rPr>
                <w:b w:val="0"/>
                <w:sz w:val="16"/>
              </w:rPr>
              <w:t>1,64</w:t>
            </w: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right"/>
              <w:rPr>
                <w:b w:val="0"/>
                <w:sz w:val="16"/>
              </w:rPr>
            </w:pPr>
          </w:p>
        </w:tc>
      </w:tr>
      <w:tr>
        <w:tblPrEx>
          <w:tblW w:w="5000" w:type="pct"/>
          <w:tblCellMar>
            <w:left w:w="108" w:type="dxa"/>
            <w:right w:w="108" w:type="dxa"/>
          </w:tblCellMar>
        </w:tblPrEx>
        <w:trPr>
          <w:trHeight w:val="500"/>
        </w:trPr>
        <w:tc>
          <w:tcPr>
            <w:tcW w:w="1250" w:type="pct"/>
            <w:gridSpan w:val="2"/>
            <w:vMerge/>
            <w:tcBorders>
              <w:bottom w:val="single" w:sz="4" w:space="0" w:color="auto"/>
            </w:tcBorders>
            <w:shd w:val="clear" w:color="auto" w:fill="FFFFFF"/>
            <w:vAlign w:val="center"/>
          </w:tcPr>
          <w:p>
            <w:pPr>
              <w:keepNext/>
              <w:spacing w:before="60" w:after="60"/>
              <w:jc w:val="left"/>
              <w:rPr>
                <w:b w:val="0"/>
                <w:sz w:val="16"/>
              </w:rPr>
            </w:pP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vMerge/>
            <w:tcBorders>
              <w:bottom w:val="single" w:sz="4" w:space="0" w:color="auto"/>
            </w:tcBorders>
            <w:shd w:val="clear" w:color="auto" w:fill="FFFFFF"/>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vAlign w:val="center"/>
          </w:tcPr>
          <w:p>
            <w:pPr>
              <w:keepNext/>
              <w:spacing w:before="60" w:after="60"/>
              <w:jc w:val="center"/>
              <w:rPr>
                <w:b w:val="0"/>
                <w:sz w:val="16"/>
              </w:rPr>
            </w:pPr>
            <w:r>
              <w:rPr>
                <w:b w:val="0"/>
                <w:sz w:val="16"/>
              </w:rPr>
              <w:t>Мярка</w:t>
            </w:r>
          </w:p>
        </w:tc>
        <w:tc>
          <w:tcPr>
            <w:tcW w:w="1250" w:type="pct"/>
            <w:tcBorders>
              <w:bottom w:val="single" w:sz="4" w:space="0" w:color="auto"/>
            </w:tcBorders>
            <w:shd w:val="clear" w:color="auto" w:fill="C0C0C0"/>
            <w:vAlign w:val="center"/>
          </w:tcPr>
          <w:p>
            <w:pPr>
              <w:keepNext/>
              <w:spacing w:before="60" w:after="60"/>
              <w:jc w:val="center"/>
              <w:rPr>
                <w:b w:val="0"/>
                <w:sz w:val="16"/>
              </w:rPr>
            </w:pPr>
            <w:r>
              <w:rPr>
                <w:b w:val="0"/>
                <w:sz w:val="16"/>
              </w:rPr>
              <w:t>Показател за изпълнението</w:t>
            </w:r>
          </w:p>
        </w:tc>
        <w:tc>
          <w:tcPr>
            <w:tcW w:w="750" w:type="pct"/>
            <w:tcBorders>
              <w:bottom w:val="single" w:sz="4" w:space="0" w:color="auto"/>
            </w:tcBorders>
            <w:shd w:val="clear" w:color="auto" w:fill="C0C0C0"/>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keepNext/>
              <w:spacing w:before="60" w:after="60"/>
              <w:jc w:val="left"/>
              <w:rPr>
                <w:b w:val="0"/>
                <w:sz w:val="16"/>
              </w:rPr>
            </w:pPr>
            <w:r>
              <w:rPr>
                <w:b w:val="0"/>
                <w:sz w:val="16"/>
              </w:rPr>
              <w:t>M07</w:t>
            </w:r>
          </w:p>
        </w:tc>
        <w:tc>
          <w:tcPr>
            <w:tcW w:w="1050" w:type="pct"/>
            <w:tcBorders>
              <w:bottom w:val="single" w:sz="4" w:space="0" w:color="auto"/>
            </w:tcBorders>
            <w:shd w:val="clear" w:color="auto" w:fill="FFFFFF"/>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p>
        </w:tc>
        <w:tc>
          <w:tcPr>
            <w:tcW w:w="500" w:type="pct"/>
            <w:tcBorders>
              <w:bottom w:val="single" w:sz="4" w:space="0" w:color="auto"/>
            </w:tcBorders>
            <w:shd w:val="clear" w:color="auto" w:fill="FFFFFF"/>
            <w:vAlign w:val="center"/>
          </w:tcPr>
          <w:p>
            <w:pPr>
              <w:keepNext/>
              <w:spacing w:before="60" w:after="60"/>
              <w:jc w:val="right"/>
              <w:rPr>
                <w:b w:val="0"/>
                <w:sz w:val="16"/>
              </w:rPr>
            </w:pPr>
          </w:p>
        </w:tc>
        <w:tc>
          <w:tcPr>
            <w:tcW w:w="750" w:type="pct"/>
            <w:tcBorders>
              <w:bottom w:val="single" w:sz="4" w:space="0" w:color="auto"/>
            </w:tcBorders>
            <w:shd w:val="clear" w:color="auto" w:fill="FFFFFF"/>
            <w:vAlign w:val="center"/>
          </w:tcPr>
          <w:p>
            <w:pPr>
              <w:keepNext/>
              <w:spacing w:before="60" w:after="60"/>
              <w:jc w:val="right"/>
              <w:rPr>
                <w:b w:val="0"/>
                <w:sz w:val="16"/>
              </w:rPr>
            </w:pPr>
            <w:r>
              <w:rPr>
                <w:b w:val="0"/>
                <w:sz w:val="16"/>
              </w:rPr>
              <w:t>42 000 000,00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vAlign w:val="center"/>
          </w:tcPr>
          <w:p>
            <w:pPr>
              <w:spacing w:before="60" w:after="60"/>
              <w:jc w:val="left"/>
              <w:rPr>
                <w:b w:val="0"/>
                <w:sz w:val="16"/>
              </w:rPr>
            </w:pPr>
            <w:r>
              <w:rPr>
                <w:b w:val="0"/>
                <w:sz w:val="16"/>
              </w:rPr>
              <w:t>Общо</w:t>
            </w:r>
          </w:p>
        </w:tc>
        <w:tc>
          <w:tcPr>
            <w:tcW w:w="200" w:type="pct"/>
            <w:tcBorders>
              <w:bottom w:val="single" w:sz="4" w:space="0" w:color="auto"/>
            </w:tcBorders>
            <w:shd w:val="clear" w:color="auto" w:fill="FFFFFF"/>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tcBorders>
              <w:bottom w:val="single" w:sz="4" w:space="0" w:color="auto"/>
            </w:tcBorders>
            <w:shd w:val="clear" w:color="auto" w:fill="FFFFFF"/>
            <w:vAlign w:val="center"/>
          </w:tcPr>
          <w:p>
            <w:pPr>
              <w:spacing w:before="60" w:after="60"/>
              <w:jc w:val="right"/>
              <w:rPr>
                <w:b w:val="0"/>
                <w:sz w:val="16"/>
              </w:rPr>
            </w:pPr>
          </w:p>
        </w:tc>
        <w:tc>
          <w:tcPr>
            <w:tcW w:w="500" w:type="pct"/>
            <w:tcBorders>
              <w:bottom w:val="single" w:sz="4" w:space="0" w:color="auto"/>
            </w:tcBorders>
            <w:shd w:val="clear" w:color="auto" w:fill="FFFFFF"/>
            <w:vAlign w:val="center"/>
          </w:tcPr>
          <w:p>
            <w:pPr>
              <w:spacing w:before="60" w:after="60"/>
              <w:jc w:val="right"/>
              <w:rPr>
                <w:b w:val="0"/>
                <w:sz w:val="16"/>
              </w:rPr>
            </w:pPr>
          </w:p>
        </w:tc>
        <w:tc>
          <w:tcPr>
            <w:tcW w:w="750" w:type="pct"/>
            <w:tcBorders>
              <w:bottom w:val="single" w:sz="4" w:space="0" w:color="auto"/>
            </w:tcBorders>
            <w:shd w:val="clear" w:color="auto" w:fill="FFFFFF"/>
            <w:vAlign w:val="center"/>
          </w:tcPr>
          <w:p>
            <w:pPr>
              <w:spacing w:before="60" w:after="60"/>
              <w:jc w:val="right"/>
              <w:rPr>
                <w:b w:val="0"/>
                <w:sz w:val="16"/>
              </w:rPr>
            </w:pPr>
            <w:r>
              <w:rPr>
                <w:b w:val="0"/>
                <w:sz w:val="16"/>
              </w:rPr>
              <w:t>42 000 000,00</w:t>
            </w:r>
          </w:p>
        </w:tc>
      </w:tr>
    </w:tbl>
    <w:p>
      <w:pPr>
        <w:spacing w:before="60" w:after="60"/>
        <w:jc w:val="center"/>
        <w:rPr>
          <w:b/>
          <w:sz w:val="20"/>
        </w:rPr>
      </w:pPr>
    </w:p>
    <w:p/>
    <w:p>
      <w:pPr>
        <w:sectPr>
          <w:pgMar w:top="900" w:right="900" w:bottom="900" w:left="900" w:header="720" w:footer="720"/>
          <w:cols w:space="720"/>
        </w:sectPr>
      </w:pPr>
    </w:p>
    <w:p>
      <w:pPr>
        <w:pStyle w:val="Heading2"/>
      </w:pPr>
      <w:bookmarkStart w:id="4" w:name="_Toc256000004"/>
      <w:r>
        <w:t>Ключова информация относно изпълнението на ПРСР въз основа на данни от a) и б) по акцентирани области</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за развитие на селските райони на България за програмния период 2014-2020 г. (наричана тук ПРСР 2014-2020 и/или Програмата) е одобрена с Решение за изпълнение на Комисията C (2015) 3480 от 26.05.2015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Общият бюджет на ПРСР 2014-2020 г. е в размер на 3 793 119 534 евро (към 31.12.2022 г. е в сила 14-тото изменение на ПРСР), в т.ч. принос от Европейския земеделски фонд за развитие на селските райони в размер на 3 129 044 775 евро и национално съфинансиране – 664 074 759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Прием по мерки и подмерки от ПРСР 2014-2020 през 202</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са реализирани приеми по следните мерки и подмерки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1.2. „Демонстрационни дейности и действия по осведомяване“ от мярка 1 "Трансфер на знания и действия за осведомяване" от Програма за развитие на селските райони за периода 2014-2020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2.1.1 „Консултантски услуги за земеделски и горски стопани“ от мярка 2 „Консултантски услуги, услуги по управление на стопанството и услуги по заместване в стопанството“ от Програма за развитие на селските райони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Целеви прием за проектни предложения с инвестиционна стойност до 300 000 евро по подмярка 4.2 „Инвестиции в преработка/маркетинг на селскостопански продукти“ от мярка 4 „Инвестиции в материални активи“ от Програма за развитие на селските райони за периода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4.2 „Инвестиции в преработка/маркетинг на селскостопански продукти“ от мярка 4 „Инвестиции в материални активи“ от Програма за развитие на селските райони за периода 2014-2020 г., стартирала през 2021 г. и приключила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4.3 „Подкрепа за инвестиции в инфраструктура, свързана с развитието, модернизирането или адаптирането на селското и горското стопанство“ проектни предложения от "Напоителни системи" ЕАД за възстановяване на съществуващи хидромелиоративни съоръжения за напояване;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6.1 „Стартова помощ за млади земеделски стопани“ от мярка 6 „Развитие на стопанства и предприятия“ от ПРСР 2014 - 2020 г., стартирала през 2021 г. и приключила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6.1 „Стартова помощ за млади земеделски стопани“ от мярка 6 „Развитие на стопанства и предприятия“ от ПРСР 2014 - 2020 г., стартирала през 2022 г. и приключила през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Процедура чрез подбор на проектни предложения по подмярка 6.3 „Стартова помощ за развитието на малки стопанства“ от мярка 6 „Развитие на стопанства и предприятия“ от ПРСР 2014-2020 г., стартирала през 2021 г. и приключила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Улици „Строителство, реконструкция и/или рехабилитация на нови и съществуващи улици и тротоари и съоръженията и принадлежностите към тях“ по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 от Програмата за развитие на селските райони за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Пътища „Строителство, реконструкция и/или рехабилитация на съществуващи общински пътища и съоръженията и принадлежностите към тях“ по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 от Програмата за развитие на селските райони за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Енергийна ефективност „Реконструкция,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 по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 от Програмата за развитие на селските райони за периода 2014 – 2020 г., стартирала през 2022 г. и приключила през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Вода „Изграждане, реконструкция и/или рехабилитация на водоснабдителни системи и съоръжения в агломерации с под 2000 е.ж. в селските райони“ по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 от Програмата за развитие на селските райони за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19.1 „Помощ за подготвителни дейности“ на мярка 19 „Водено от общностите местно развитие“ от Програмата за развитие на селските райони за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22.1. „Извънредно временно подпомагане за земеделски стопани, които са особено засегнати от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10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12 „Плащания по „Натура-2000” и Рамковата директива  за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13 „Плащания за райони, изправени пред природни или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по-долу е представен като цяло следвайки разпоредбите на Регламент за изпълнение (ЕС) 2018/276 на Комисията от 23 февруари 2018 година за изменение на Регламент за изпълнение (ЕС) № 215/2014, на базата на което са представени и таблиците от Приложенията към доклада в системата (част 11 от годишния доклад), а именно - отчитането на прилагането на Програмата се извършва предимно на база сключени договори, с получени междинни и/или окончателни плащания (не се включват договори, или договори с получени авансови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Въпреки това, за целите на анализа са представяни на места и сравнения на база приети заявления, или договори, или договори с получени плащания, вкл. само изплатени аванси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изрично е упоменато навсякъде каква база е използвана за представения анализ, във всеки конкретен случай.</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и подмерки в процес на прилагане от стартирането на Програмата до края на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1.1. „Професионално обучение и придобиване на умения“ от мярка 1 „Трансфер на знания и действия за осведомяване“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1.1. „Професионално обучение и придобиване на умения“ е насочено към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на знания и информация в областта на селското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и за постигане на ефект по отношение изпълнението на пет от приоритетите на Европейския съюз за развитие на селските райони, с изключение на Приоритет № 6 „Насърчаване на социалното приобщаване, намаляването на бедността и икономическото развитие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Първият прием по подмярката стартира през 2019 календарна година и приключи през 2020 г., като в резултат са постъпили 79 заявления, със стойност на исканата субсидия 19,7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31.12.2020 г. са издадени заповеди за одобрение за 41 проектни предложения (ПП) на обща стойност 6.22 млн. евро, а административните договори са сключени в началото на 2021 година, като общия брой на одобрените обучения по подмярката възлиза на 299 броя. През 2020 и 2021 години не са извършвани плащания по подмярка 1.1.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със заповед на ръководителя на УО на ПРСР 2014-2020 г.  е направено изменение в условията за изпълнение на одобрени проекти по подмярка 1.1, с което отпада изискването към бенефициентите да представят фактури към искането за плащане, тъй като подпомагането се извършва въз основа на стандартни разходи, за което не е необходимо да се предоставят разходоопвалдателни документи, а доказателства, че дейностите са извършени и лицата, участващи в дейностите са обучени с оглед облекчаване на административната тежест.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действащите договори по подмярка 1.1. „Професионално обучение и придобиване на умения“ са 30 бр., а общо изплатените публични средства са в размер на 0,06 млн. евро, които се отнасят към следните приоритети, съгласно Таблица 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1 „Разплатени средства по подмярка 1.1. „Професионално обучение и придобиване на умения“ по приоритети“</w:t>
            </w:r>
          </w:p>
          <w:tbl>
            <w:tblPr>
              <w:tblStyle w:val="Table"/>
              <w:tblCellMar>
                <w:top w:w="15" w:type="dxa"/>
                <w:left w:w="15" w:type="dxa"/>
                <w:bottom w:w="15" w:type="dxa"/>
                <w:right w:w="15" w:type="dxa"/>
              </w:tblCellMar>
              <w:tblLook w:val="05E0"/>
            </w:tblPr>
            <w:tblGrid>
              <w:gridCol w:w="3542"/>
              <w:gridCol w:w="3447"/>
              <w:gridCol w:w="3451"/>
            </w:tblGrid>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492" w:type="dxa"/>
                  <w:noWrap w:val="0"/>
                  <w:tcMar>
                    <w:top w:w="20" w:type="dxa"/>
                    <w:left w:w="20" w:type="dxa"/>
                    <w:bottom w:w="20" w:type="dxa"/>
                    <w:right w:w="20"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Разплатени публични средства през 2022 г.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2В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3B Подпомагане на превенцията и управлението на риска на стопанствата</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5A Повишаване на ефективността при потреблението на вода в селското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5B Повишаване на ефективността при потреблението на енергия в селското стопанство и хранително-вкусовата промишленост</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5C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5D Намаляване на емисиите на парникови газове и амоняк от селското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5E Стимулиране на съхраняването и поглъщането на въглерода в сектора на селското и горското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P4 Възстановяване, опазване и укрепване на екосистемите, свързани със селското и горското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0,01</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0,01</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 „Демонстрационни дейности и действия по осведомяване“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ПРСР 2014-2020 г., подмярка 1.2. подпомага дейности по организирането и провеждането на демонстрационни дейности в областта на селското стопанство и горското стопанство с цел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на знания и информация в областта на селското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е проведен прием за подбор на проектни предложения, като са постъпили 14 проектни предложения на обща стойност 3,45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периода за оценка проектните предложения са в процес на обрабока и не са извършвани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 „Консултантски услуги, управление на стопанството и услуги по заместване в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2.1. „Помощ за осигуряване на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ПРСР 2014-2020 г., подмярка 2.1. се прилага с две подмерки (първоначално наричани „операции“): Подмярка 2.1.1 „Консултантски услуги за земеделски и горски стопани“ и Подмярка 2.1.2 „Консултантски услуги за малки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2.1.1. "Консултантски услуги за земеделски и горски стопани" има за цел предоставяне на консултантски услуги на земеделските стопани, младите земеделски стопани и горските стопани за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2.1.2. "Консултантски услуги за малки земеделски стопанства" има за цел предоставяне на бърз и лесен достъп на малките земеделски стопанства до качествени консултантски услуги и удовлетворяване на потребностите им за повишаване на тяхната квалификация и управленски умения, жизнеспособност, осведоменост, знания за опазване на околната среда, адаптиране към климатичните промени и подобряване на управлението на риска.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Подмярка 2.1.1 „Консултантски услуги за земеделски и горски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стартира през 2015 г., съгласно Наредба № 13 от 19 май 2015 г. за прилагане на подмярка 2.1 „Помощ за осигуряване на консултантски услуги" по мярка 2 „Консултантски услуги, услуги по управление на стопанството и услуги по заместване в стопанството" от Програмата за развитие на селските райони за периода 2014 - 2020 г. В първия период на прием е определена Националната служба за съвети в земеделието (НССЗ) като единствен ползвател на финансовата помощ, който да предоставя на земеделски стопани, кандидати по подмярка 6.1. "Стартова помощ за млади земеделски стопани" от ПРСР 2014 – 2020 г. консултантски услуги по пакет А2Б. Определеният бюджет за проведения избор е в размер на 1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е проведен прием на проектни предложения по подмярката с бюджет в размер на 1,59 млн. евро, по който са подадени и одобрени три проектни предложения със стойност на заявената БФП в размер на 0,97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приема по подмярка 6.1 „Стартова помощ за млади земеделски стопани“, проведен в периода 01.11.2022 г. – 31.01.2023 г., бенефициентите по подмярка 2.1.1. са предоставяли консултантски услуги на кандидати - млади фермери.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изплатените публични средства по подмярка 2.1.1 „Помощ за осигуряване на консултантски услуги” към 31.12.2022 г. остават непроменени спряно предхосните периоди на оценка и са в размер на 1,66 млн. евро, които се отнасят към приоритет 2В „Улесняване на навлизането на земеделски стопани с подходяща квалификация в селскостопанския сектор, и по-специално приемствеността между поколенията“. Последните плащания по тази подмярка са извършени през 2019 г, като до края на 2022 г. разплащания по подмярката не са извършвани.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Подмярка 2.1.2 „Консултантски услуги за малки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22.06.2016 г. по подмярка 2.1.2 „Консултантски услуги за малки земеделски стопанства”, НССЗ стартира предоставянето на шест (6) основни напълно безплатни консултантски пакета (КП) за малките земеделски стопанства, допринасящи, както за икономическо развитие и укрепване на малките земеделски стопанства, чрез модернизация и технологичното обновление като устойчиви и жизнеспособни единици, така и за подобряване на опазването на околната среда и борба с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част от мярка 2 от ПРСР 2014 - 2020 г. до края на 2022 г. са разплатени средства на обща стойност 9,17 млн. евро, като разплатените само през 2022 г. са в размер на 1,23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изплатените публични средства по подмярка 2.1.2 „Консултантски услуги за малки земеделски стопанства” към 31.12.2022 г. са в размер на 9,17 млн. Евро, които се отнасят към следните приоритети, съгласно Таблица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2 „Разплатени средства по подмярка 2.1.2 „Консултантски услуги за малки земеделски стопанства” по приоритети“</w:t>
            </w:r>
          </w:p>
          <w:tbl>
            <w:tblPr>
              <w:tblStyle w:val="Table"/>
              <w:tblCellMar>
                <w:top w:w="15" w:type="dxa"/>
                <w:left w:w="15" w:type="dxa"/>
                <w:bottom w:w="15" w:type="dxa"/>
                <w:right w:w="15" w:type="dxa"/>
              </w:tblCellMar>
              <w:tblLook w:val="05E0"/>
            </w:tblPr>
            <w:tblGrid>
              <w:gridCol w:w="3542"/>
              <w:gridCol w:w="3447"/>
              <w:gridCol w:w="3451"/>
            </w:tblGrid>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492" w:type="dxa"/>
                  <w:noWrap w:val="0"/>
                  <w:tcMar>
                    <w:top w:w="20" w:type="dxa"/>
                    <w:left w:w="20" w:type="dxa"/>
                    <w:bottom w:w="20" w:type="dxa"/>
                    <w:right w:w="20"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Разплатени публични средства през 2022 г.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4,99</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0,50</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0,72</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0,06</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3B Подпомагане на превенцията и управлението на риска на стопанствата</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0,72</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0,06</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5A Повишаване на ефективността при потреблението на вода в селското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0,50</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0,03</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5B Повишаване на ефективността при потреблението на енергия в селското стопанство и хранително-вкусовата промишленост</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1,67</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0,09</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5C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1,67</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0,09</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5D Намаляване на емисиите на парникови газове и амоняк от селското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1,67</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0,09</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5E Стимулиране на съхраняването и поглъщането на въглерода в сектора на селското и горското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1,67</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0,09</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P4 Възстановяване, опазване и укрепване на екосистемите, свързани със селското и горското стопанство</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4,34</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0,22</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разплатените средства по Подмярка 2.1. „Помощ за осигуряване на консултантски услуги” са в размер на 10,82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2.2 „Създаване на консултантски услуги“ (ТПП)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стартира през 2021 г., като първият период на прием е определен със Заповед РД09-107/08.02.2021 на Заместник-министъра на земеделието, храните и горите. Приемът е проведен в периода 08.02.2021 г до 10.05.2021 г. с определен бюджет от 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приема е постъпило 1 (едно) заявление за подпомагане с размер на заявените публични средства (финансова помощ) 5,81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Единствен бенефициент по подмярката е Национална служба за съвети в земеделието, като подпомаганата дейсност е Създаване на мобилни общински центрове (офиси) за консултантски услуги. Договорът за подпомагане е подписан 22.11.2021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одобреният проект е в процес на изпълнение и към 31.12.2022 г. не са извършени плащания по подмярка 2.2.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4 „Инвестиции в материални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4.1 „Инвестиции в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стартира през 2015 г., като първият период на прием е определен още преди официалното одобрение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са налични 1756 действащи договори с размер на одобрените разходи 672,27 млн. евро. и договорена субсидия в размер на 381,62 млн. евро общо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подмярката са налични общо 1271 проекта с междинни и/или авансови плащания, от които 1229 приключени проекта, със стойност на окончателно изплатената субсидия 299,85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изплатените публични средства, в това число авансови, междинни и/или окончателни плащания, по приемите за подмярка 4.1 „Инвестиции в земеделски стопанства” към 31.12.2022 г. са в размер на 305,12 млн. евро, от които 18,88 млн. евро публични средства са разплатени през 2022 г., които се отнасят към следните приоритети, съгласно Таблица 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3 „Разплатени средства по Подмярка 4.1 „Инвестиции в земеделски стопанства” по приоритети“</w:t>
            </w:r>
          </w:p>
          <w:tbl>
            <w:tblPr>
              <w:tblStyle w:val="Table"/>
              <w:tblCellMar>
                <w:top w:w="15" w:type="dxa"/>
                <w:left w:w="15" w:type="dxa"/>
                <w:bottom w:w="15" w:type="dxa"/>
                <w:right w:w="15" w:type="dxa"/>
              </w:tblCellMar>
              <w:tblLook w:val="05E0"/>
            </w:tblPr>
            <w:tblGrid>
              <w:gridCol w:w="3541"/>
              <w:gridCol w:w="3449"/>
              <w:gridCol w:w="3450"/>
            </w:tblGrid>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Приоритети/области с поставен акцент </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490" w:type="dxa"/>
                  <w:noWrap w:val="0"/>
                  <w:tcMar>
                    <w:top w:w="20" w:type="dxa"/>
                    <w:left w:w="20" w:type="dxa"/>
                    <w:bottom w:w="20" w:type="dxa"/>
                    <w:right w:w="20"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Разплатени публични средства през 2022 г.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177,18</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11,01</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2В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53,06</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1,19</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5A Повишаване на ефективността при потреблението на вода в селското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2,73</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0,11</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5B Повишаване на ефективността при потреблението на енергия в селското стопанство и хранително-вкусовата промишленост</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59,43</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6,34</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5C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0,17</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5D Намаляване на емисиите на парникови газове и амоняк от селското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0,72</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P4 Възстановяване, опазване и укрепване на екосистемите, свързани със селското и горското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10,49</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0,07</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одобрените от Комитета по наблюдение на Програмата критерии за подбор, най-голяма тежест получават проектите с инвестиции в чувствителните сектори „Животновъдство“, „Плодове и зеленчуци“ и „Етерично-маслени култури“. От всички 1756 действащи договора към 31.12.2022 г., броят на тези, получили приоритет по сектори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- 726 проекта в сектор „Плодове и зеленчуци“ с одобрена субсидия в размер на 169,45 млн. евро, от които 701 са с извършени междинни и/или окончателни плащания в размер на 155,12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- 1199 проекта в сектор „Животновъдство“ с одобрена субсидия в размер на 237,31 млн. евро, от които 736 са с извършени междинни и/или окончателни плащания в размер на 173,63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- 399 проекта в сектор „Етерично-маслени култури“ с одобрена субсидия в размер на 73,10 млн. евро, от които 391 са с извършени междинни и/или окончателни плащания в размер на 69,82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- 78 проекта, извън чувствителните сектори „Животновъдство“, „Плодове и зеленчуци“ и „Етерично-маслени култури“, с одобрена субсидия в размер на 20.09 млн. евро, от които 75 са с извършени междинни и/или окончателни плащания в размер на 18.56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има предвид, че един проект е възможно да бъде в повече от един приоритетен сектор. В тези случаи, всеки проект, одобрен в даден сектор, е отчетен и като брой, и с целия обем разпределени за него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база данни, след оторизация, допълнителната заетост е 4 908 работни места, разкрити вследствие на реализирането на проектите по мярката към края на 2023 г. Важно е да се отбележи, че създадената допълнителна заетост не допринася директно към таргет индикатора за фокус област 6А “T20: работни места, разкрити в подпомогнатите проекти (област с поставен акцент 6А)“, и към момента не е отчетена към него.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всички 1756 действащи договора към 31.12.2022 г., тези, получили приоритет за сектор „биологично земеделие“, са 606, с обща стойност на одобрената субсидия 102,75 млн. евро публични средства. Получените междинни и/или окончателни плащания са в размер на 95,00 млн. евро публични средства, разпределени между 570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база договорените 1756 проекта, към 31.12.2022 г. в 757 от тях е заявен като приоритет „повишаване на енергийната ефективност в стопанството“ с одобрена субсидия в размер на 231,01 млн. евро. От всички тези 757 проекта, към края на 2022 г., 719 са получили междинни и/или окончателни плащания на стойност 209,45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Един от важните приоритети на Програмата е насочване на публичните средства към Северозападния район,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 следвайки заложеният в Споразумението за партньорство териториален подход за целенасочена подкрепа. От всички 1756 действащи договора към 31.12.2022 г., тези, получили приоритет за Северозападен район са 272, с обща стойност на субсидията в размер на 50,64 млн. евро. Kъм 31.12.2022 г., са реализирани 201 проекта с междинни и/или окончателни плащания в Северозападен район на стойност 42,00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 критерий по подмярката, който е свързан с териториалното разположение на инвестициите е приоритетът, осигуряващ насочване на помощта в райони с природни ограничения. От всички 1756 действащи договора към края на 2022 г., тези, които попадат в планински райони и районите с природни ограничения, различни от планинските са 1171, с обща стойност на одобрената субсидия 194,24 млн. евро публични средства. Към края на 2022 г. проектите с изплатени междинни и/или окончателни плащания в райони с природни ограничения са 886, с изплатена финансова помощ в размер на 155,91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Подмярка 4.1.2: „Инвестиции в земеделски стопанства по Тематична подпрограма за развитие на малки стопанства“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4.1.2: „Инвестиции в земеделски стопанства по Тематична подпрограма за развитие на малки стопанства“ е насочено към подобряване на икономическата устойчивост и резултати на малките стопанства, чрез преструктуриране и развитие на наличните материални мощности в стопанствата, насърчаване въвеждането на нови процеси и технологии за повишаване качеството на произвежданата продукция, опазване на компонентите на околната среда, спазване на стандартите на Европейския съюз и подобряване на условията в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за постигане на ефект по отношение изпълнението на Приоритет 2: „Повишаване на жизнеспособността на стопанствата и конкурентоспособността на всички видове селскостопанска дейност във всички райони, както и насърчаване на новаторските технологии в селското стопанство и устойчивото управление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договори към края на 2022 г. са 163 броя, с размер на договорената субсидия 2.2 млн. евро. Плащания извършени през 2022 г. по подмярката са в размер на 0,76 млн. евро. Общо изплатените публични средства по Подмярка 4.1.2: „Инвестиции в земеделски стопанства по Тематична подпрограма за развитие на малки стопанства“ към 31.12.2022 г. са в размер на 1,1 млн. евро, които се отнасят към приоритет 2A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Подпомогнати са 15 проекта с включени инвестиции в сектор „Животновъдство“, 10 проекта са с включени инвестиции, свързани с биологичното производство, 5 проекта са с включени инвестиции свързани с напояване, а 7 проекта са с включени инвестиции и дейности за повишаване на енергийната ефективност в стопанствата и/или иновации.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селскостопански продукти” от Програма за развитие на селските райони 2014-2020 г. (ПРСР 2014-2020 г.) има за цел подобряване на цялостната дейност, икономическата ефективност и конкурентоспособността на предприятия от хранително-преработвателната промишленост.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за постигане на ефект по отношение изпълнението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Област с поставен акцент 3А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Област с поставен акцент 5В „Повишаване на ефективността при потреблението на енергия в селското стопанство и хранително-вкусовата промишленост“;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Област с поставен акцент 5С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2021 г. – 2022 г. са организирани още два приема за подбор на проектни предложения с обща стойност на субсидията над 230 млн. евро публични средства, като и по двата може да се отчете изключително висок интерес от страна на кандидатите за изпълнение на проекти, свързани с преработка на селскостопански продукти. Към 31.12.2022 г. постъпилите проекти с обща стойност на исканата субсидия над 370 млн. евро публични средства и по двата приема са в процес на обработка.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действащите договори са 362 с общ размер на одобрените разходи 446,37 млн. евро, от които размерът на договорената субсидия общо публични средства възлиза на 228,75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подмярката са налични общо 243 приключени проекта, със стойност на окончателно изплатената субсидия  140,13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всички постъпили проекти, към датата на оценка са разплатени суми в размер на 154,24 млн. евро от авансови, междинни и/или окончателни плащания, съгласно Таблица 4, от които извършените междинни и/или окончателни плащания възлизат на 146,66 млн. евро общо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4 „Разплатени средства по Подмярка 4.2 „Инвестиции в преработка/маркетинг на селскостопански продукти“</w:t>
            </w:r>
          </w:p>
          <w:tbl>
            <w:tblPr>
              <w:tblStyle w:val="Table"/>
              <w:tblCellMar>
                <w:top w:w="15" w:type="dxa"/>
                <w:left w:w="15" w:type="dxa"/>
                <w:bottom w:w="15" w:type="dxa"/>
                <w:right w:w="15" w:type="dxa"/>
              </w:tblCellMar>
              <w:tblLook w:val="05E0"/>
            </w:tblPr>
            <w:tblGrid>
              <w:gridCol w:w="3542"/>
              <w:gridCol w:w="3447"/>
              <w:gridCol w:w="3451"/>
            </w:tblGrid>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492" w:type="dxa"/>
                  <w:noWrap w:val="0"/>
                  <w:tcMar>
                    <w:top w:w="20" w:type="dxa"/>
                    <w:left w:w="20" w:type="dxa"/>
                    <w:bottom w:w="20" w:type="dxa"/>
                    <w:right w:w="20"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Разплатени публични средства през 2022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122,92</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14,66</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5В) Повишаване на ефективността при потреблението на енергия в селското стопанство и хранително-вкусовата промишленост</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31,23</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12,68</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5С)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c>
                <w:tcPr>
                  <w:tcW w:w="3487"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0,09</w:t>
                  </w:r>
                </w:p>
              </w:tc>
              <w:tc>
                <w:tcPr>
                  <w:tcW w:w="349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Дефинираните критерии за подбор по подмярката са в съответствие с нуждите на Програмата и гарантират правилното и навременно насочване на публичните средства. Предвидено е помощта да бъде насочена, чрез прилагане на критерии за подбор, предимно към преработка на суровини от чувствителните сектори („Животновъдство“, „Плодове и зеленчуци“ и „Етерично-маслени култури“), биологично производство, допълнителна заетост, Северозападен район и райони с природни и други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одобрените от Комитета по наблюдение на Програмата критерии за подбор, най-голяма тежест получават проектите с инвестиции в преработка на суровини от чувствителните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от 243 приключени проекта с извършени окончателни плащания в размер на 140,13 млн. евро, към края на 2022 г. са създадени 1964 нови работни места (създадените и съответно докладвани в Глава 11 от доклада работни места по проектите, получили междинно и/или окончателно плащане са по 947 мъже и жени). Допълнителната заетост в рамките на северозападния район на България, създадена при прилагане на подмярката се равнява на 180 нови работни места, разпределени в 28 проекта. Работните места, създадени в резултат на 88 приключени проекта в рамките на районите с природни ограничения са 631. Към края на 2022 г. договорената субсидия общо публични средства в северозападен район са в размер на 24,48 млн. евро, от които размерът на изплатените авансови, междинни и/или окончателни плащания се равнява на 14,66 млн. евро, а размерът на извършените междинни и/или окончателни плащания е 13,30 млн. евро, общо публични средства. Към 31.12.2022 г., размерът на договорената субсидия за проекти в рамките на райони с природни и други ограничения възлиза на 74,39 млн. евро, разплатените средства от авансови, междинни и/или окончателни плащания са в размер на 48,18 млн. евро, а от тях извършените междинни и/или окончателните плащания са в размер на 45,60 млн.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сферата на преработка на биологични суровини и производство на биологични продукти по подмярката са договорени 137 проекта с размер на субсидията 89,03 млн. евро, а към края на 2022 г. от тях са разплатени 45,24 млн. евро в резултат на авансови, междини и/или окончателни плащания, като дела на изплатените междинни и/или окончателно плащания е 41,53 млн.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насърчаването на кооперирането и интеграцията между земеделските стопани и предприятия от преработвателната промишленост е подпомогнато с 42 подписани договора, субсидията по които е в размер на 25,56 млн. евро, като авансовите, междинните и/или окончателните плащания са в размер на 13,00 млн. евро, от които 11,40 млн. евро е делът на проектите с извършени междинни и/или окончателни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Прави впечатление, че много малка част от договорените проектите имат заложени инвестиции в иновации и енергоспестяващи технологии, а основната част на договорените проекти са с инвестиции за преработка на суровини от чувствителните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Подмярка 4.2.2: „Инвестиции в преработка/маркетинг на селскостопански продукти по Тематичната подпрограма“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4.2.2 „Инвестиции в преработка/маркетинг на селскостопански продукти по Тематичната подпрограма“ е насочено към повишаване на конкурентоспособността,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на малките стопанства, чрез инвестиции в материални и нематериални активи за добавяне на стойност към произвежданите от тях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за постигане на ефект по отношение изпълнението на Приоритет 3: „Насърчаване на организацията на хранителната верига, включително преработката и маркетинга на селскостопански продукти, хуманното отношение към животните и управлението на риска в селското стопанство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прилагане на подмярката, малките стопанства в секторите „Животновъдство“, „Плодове и зеленчуци“  и „Етерично–маслени и лекарствени култури“ ще се преструктурират,  модернизират и ще се осигури възможност за повишаване и стабилизиране на доходите, чрез изграждането на малки по мащаб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Първият прием по подмярката стартира на 22.10.2019 г, извършен е по електронен път, чрез системата „ИСУН 2020“ и е с общ бюджет 1,69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приключването му на 23.12.2019 г. постъпват едва 5 проектни предложения със стойност на исканата субсидия 0,20 млн. евро публични средства. Всички постъпили 5 проектни предложения са отхвърлени за финансиране. По подмярката не са провеждани други приеми и не са извършвани плащания до края на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няма одобрени проекти, като една от причините за липсата на интерес и отхвърлянето и на малкото постъпили проекти, би могла да бъде наличието на завишени изисквания, както и мотивите, посочени в извършен анализ в раздел 3а на настоящия доклад, а именно, че малките стопанства имат нужда по по-голям инвестиционен ресурс за изграждане на преработвателно предприятие.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4.3 „Подкрепа за инвестиции в инфраструктура, свързана с развитието, модернизирането или адаптирането на селското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реконструкция/рехабилитация и модернизация на ХМСН използвана само за селскостопански нужди, извън земеделските стопанства,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по подмярката се разпределят в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 област с поставен акцент 5А „Повишаване на ефективността при потреблението на вода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са подписани 3 договора по процедура BG06RDNP001-4.011 - Проектни предложения от сдружения за напояване и други юридически лица за възстановяване на съществуващи хидромелиоративни съоръжения за напояване с общ размер на договорената субсидия 4.11 млн. евро. Към 31.12.2022 г. не са извършвани плащания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постъпили 26 проектни предложения по Процедура № BG06RDNP001-4.010 „Проектни предложения от „Напоителни системи“ ЕАД за възстановяване на съществуващи хидромелиоративни съоръжения за напояване“ на обща стойност 58,68 млн. евро са отхвърлени от финансиране през 2022 г., пореди установени нередности в процеса по възлагане на обществените поръчки. През 2022 г. е стартирана нова процедура за подбор на проектни предложения - BG06RDNP001-4.016 - Проектни предложения от "Напоителни системи" ЕАД за възстановяване на съществуващи хидромелиоративни съоръжения за напояване с период на прием 18.05.2022 до 19.09.2022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процедура BG06RDNP001-4.016 няма подписани договори за подпомагане и не са извършвани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5 „Възстановяване на селскостопански производствен потенциал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ПРСР 2014-2020 г., мярка 5 се прилага с две подмерки: Подмярка 5.1 „Подкрепа за инвестиции в превантивни мерки“ и Подмярка 5.2 „Инвестиции за възстановяване на потенциала на земеделските земи и на селскостопанския производствен потенциал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 е насичена към: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от 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за животновъдни обекти, специализирани в отглеждането на свине, овце, кози 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5.2 „Инвестиции за възстановяване на потенциала на земеделските земи и на селскостопанския производствен потенциал“ има за цел възстановяване на производствения потенциал, нарушен от остро заразни заболявания по свинете, дребните преживни животни /овце и кози/ и птиците. 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 Допустими за подпомагане са инвестиции за възстановяване на производствения потенциал чрез закупуване на животни за разплод, както и за репопулация на засегнатите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5.1 „Подкрепа за инвестиции в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на прилагане на ПРСР 2014-2020 са отворени 3 приема за подбор на проектни предложения. Съответно 1 (един) през 2020 г. и 2 (два)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по трите процедури са сключени 54 договора за финансово подпомагане с общ рамер на договорената субсидия 13,41 млн. евро. Към края на оценявания период са изплатени общо публични разходи от авансови и окончателни плащания, възлизащи в размер на 2,61 млн. евро от които 2,12 млн. евро е делът на проектите с извършени окончателни плащания. Всички плащания са извършени през 2022 г. Разпределени са приоритет 3B „Подпомагане на превенцията и управлението на риска на стопанствата“.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5.2 „Инвестиции за възстановяване на потенциала на земеделските земи и на селскостопанския производствен потенциал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стартиране на мярката през 2020 г. е проведен един прием, като постъпилите проектни предложения са три със стойност на БФП в размер на 0,79 млн. евро. Към края на 2022 г. не са сключени договори за предоставяне на финансово подпомагане и не са извършени плащания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6 „Развитие на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ПРСР 2014-2020 г., мярка 6 се прилага с четири подмерки: Подмярка 6.1 „Стартова помощ за млади земеделски стопани“, Подмярка 6.3 – „Стартова помощ за развитието на малки стопанства“,   Подмярка 6.4.1 „Инвестиции в подкрепа на неземеделски дейности“ и Подмярка “6.4.2 Подмярка Инвестиции в подкрепа на неземеделски дейности по Тематичната подпрограма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6.1 „Стартова помощ за млади земеделски стопани“ е насочена към увеличаване на броя и дела на младите земеделски стопани, което ще доптинесе до осигуряване на устойчиво развитие, така и за улесняване на структурните промени в земеделието. Помощта допринася за улесняване и подпомагане процеса на създаването на жизнеспособни и устойчиви земеделски стопанства или поемането от млади хора на вече съществуващи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6.3 – „Стартова помощ за развитието на малки стопанства“ е насочена към осигуряване на  устойчиво развитие и растеж на малките стопанства. По подмярката се подпомагат всички дейности, които могат да гарантират устойчиво развитие, чрез инвестиции в стопанството, свързани с неговото развитие и модернизация. 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6.4.1 „Инвестиции в подкрепа на неземеделски дейности“ е насочена към подпомагане на инвестиции в неземеделски дейности, което е от съществено значение за развитието на конкурентоспособността на селските райони. Насърчаването на този тип инвестиции ще подпомогне създаването на заетост и ще ускори диверсификацията на неземеделските дейности. Подмярката подпомога развитието на технологиите в областта на „зелената икономика“, включително на енергия от ВЕИ за собствено потребление. Щели се подпомогне усвояването на потенциала за развитие на туризъм, съчетаващ природни и културни ценности.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6.4.2 „Подмярка Инвестиции в подкрепа на неземеделски дейности по Тематичната подпрограма за развитие на малки стопанства“. 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 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6.1 „Стартова помощ за млади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са налични общо 2221 действащи договора, на обща стойност на договорената субсидия в размер на 55,53 млн. евро. От тях 1978 проекта са приключени с извършено второ окончателно плащане, като общо изплатените средства възлизат 49,42 млн. евро общо публични средства, разпределени съгласно Таблица 5. Общо изплатените публични средства по проектите са вразмер на 51,76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този програмен период по подмярката са финансирани като преходно плащане и 1410 проекта от предишния програмен период (стартирали преди 31.12.2015 г. но приключени с плащане след тази дата), с обща стойност на изплатената субсидия 17.4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5 „Разплатени средства по Подмярка 6.1 Стартова помощ за млади земеделски стопани“</w:t>
            </w:r>
          </w:p>
          <w:tbl>
            <w:tblPr>
              <w:tblStyle w:val="Table"/>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22"/>
              <w:gridCol w:w="3442"/>
              <w:gridCol w:w="3456"/>
            </w:tblGrid>
            <w:tr>
              <w:tblPrEx>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3584" w:type="dxa"/>
                  <w:tcBorders>
                    <w:bottom w:val="inset" w:sz="6" w:space="0" w:color="808080"/>
                    <w:right w:val="inset" w:sz="6" w:space="0" w:color="808080"/>
                  </w:tcBorders>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50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51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Разплатени публични средства през 2022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584" w:type="dxa"/>
                  <w:tcBorders>
                    <w:top w:val="inset" w:sz="6" w:space="0" w:color="808080"/>
                    <w:right w:val="inset" w:sz="6" w:space="0" w:color="808080"/>
                  </w:tcBorders>
                  <w:noWrap w:val="0"/>
                  <w:tcMar>
                    <w:top w:w="22" w:type="dxa"/>
                    <w:left w:w="25" w:type="dxa"/>
                    <w:bottom w:w="25"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tc>
              <w:tc>
                <w:tcPr>
                  <w:tcW w:w="350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51,77</w:t>
                  </w:r>
                </w:p>
              </w:tc>
              <w:tc>
                <w:tcPr>
                  <w:tcW w:w="351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4,45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всички 2 221 действащи договора към 31.12.2022 г., броят на тези, получили приоритет в чувствителните сектори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- 1462 проекта в сектор „Плодове и зеленчуци“ с одобрена субсидия в размер на 36,55 млн. евро, от които извършените първи и втори плащания са в размер на 33,72 млн. евро, а приключените проекти с окончателни плащания са в размер на 31,85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- 514 проекта в сектор „Животновъдство“ с одобрена субсидия в размер на 12,85 млн. евро, от които извършените първи и втори плащания са в размер на 12,21 млн. евро, а приключените проекти с окончателни плащания са в размер на 11,99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- 225 проекта са стопанствата със смесени инвестиции, включително отглеждащите полски култури, като одобрената субсидия в тези стопанства е в размер 5,63 млн. евро, от които извършените първи и втори плащания са в размер на 5,41 млн. евро, а приключените проекти с окончателни плащания са в размер на 5,23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приоритета, свързан с биологично производство по подмярката са договорени 1 526 проекта с размер на субсидията 38,15 млн. евро, а към края на 2022 г. от тях са разплатени първи и втори плащания в размер на 36,34 млн. евро, като дела на приключените проекти с окончателни плащания е 34,82 млн.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всички 2 221 действащи договора, делът на проектите реализирани от жени възлиза на 971, а делът на мъжете е покрит от 1 250 проекта. Реализираните проекти от жени, които попадат изцяло в сектор „Животновъдство“ са 10%, а от мъже - 13%. В следващия чувствителен сектор „Плодове и зеленчуци“, жените заемат 29% спрямо всички проекти, а мъжете – 37%. Съответно в смесените стопанства делът на жените е 4%, а на мъжете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6.3 „Стартова помощ за развитието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действащите договори са 4162 общата договорена субсидия по действащите договори възлиза на 62,43 млн. евро, като изплатената сума по проектите възлиза в размер на 54,74 млн. евро, като 3136 проекта са успешно приключени, а окончателно платените общо публични разходи по тях възлизат в размер на 49,94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този програмен период по подмярката са финансирани като преходно плащане и 3590 проекта от предишния програмен период (стартирали преди 31.12.2015 г. но приключени с плащане след тази дата), с обща стойност на изплатената субсидия 7.8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разплатените средства са рапределни по приоритет, съгласно Таблица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6 „Разплатени средства по Подмярка 6.3 Стартова помощ за развитието на малки стопанства”</w:t>
            </w:r>
          </w:p>
          <w:tbl>
            <w:tblPr>
              <w:tblStyle w:val="Table"/>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07"/>
              <w:gridCol w:w="3449"/>
              <w:gridCol w:w="3464"/>
            </w:tblGrid>
            <w:tr>
              <w:tblPrEx>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3620" w:type="dxa"/>
                  <w:tcBorders>
                    <w:bottom w:val="inset" w:sz="6" w:space="0" w:color="808080"/>
                    <w:right w:val="inset" w:sz="6" w:space="0" w:color="808080"/>
                  </w:tcBorders>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574"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Разплатени публични средства през 2022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620" w:type="dxa"/>
                  <w:tcBorders>
                    <w:top w:val="inset" w:sz="6" w:space="0" w:color="808080"/>
                    <w:right w:val="inset" w:sz="6" w:space="0" w:color="808080"/>
                  </w:tcBorders>
                  <w:noWrap w:val="0"/>
                  <w:tcMar>
                    <w:top w:w="22" w:type="dxa"/>
                    <w:left w:w="25" w:type="dxa"/>
                    <w:bottom w:w="25"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c>
                <w:tcPr>
                  <w:tcW w:w="3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54,74</w:t>
                  </w:r>
                </w:p>
              </w:tc>
              <w:tc>
                <w:tcPr>
                  <w:tcW w:w="3574"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10,36</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се наблюдава наваксване в процеса по изпълнение и разплащане, като до пълното разплащане на подмярката остават малко над 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6.4.1 „Инвестиции в подкрепа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за постигане на ефект по отношение изпълнението на Приоритет 6: „Насърчаване на социалното приобщаване, намаляването на бедността и икономическото развитие в селските райони“, област с поставен акцент „6А“: „Улесняване на разнообразяването, създаването и развитието на малки предприятия, както и разкриването на работни места“.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са сключени 255 договора за предоставяне на безвъзмездна финансова помощ с размер на одобрената субсидия 33,04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действащите договори са 255 с общ размер на одобрените разходи 71,00 млн. евро, от които размерът на договорената субсидия общо публични средства възлиза на 35,03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платените междинни и окончателни плащания възлизат в размер на 8,96 млн. евро, а 54 проекта са приключени, със стойност на окончателно изплатената субсидия  6,94 млн. евро публични средства, разпределни по приоритет, съгласно таблица 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7 „Разплатени средства по Подмярка 6.4.1 „Инвестиции в подкрепа на неземеделски дейности“</w:t>
            </w:r>
          </w:p>
          <w:tbl>
            <w:tblPr>
              <w:tblStyle w:val="Table"/>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07"/>
              <w:gridCol w:w="3449"/>
              <w:gridCol w:w="3464"/>
            </w:tblGrid>
            <w:tr>
              <w:tblPrEx>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3620" w:type="dxa"/>
                  <w:tcBorders>
                    <w:bottom w:val="inset" w:sz="6" w:space="0" w:color="808080"/>
                    <w:right w:val="inset" w:sz="6" w:space="0" w:color="808080"/>
                  </w:tcBorders>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574"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Разплатени публични средства през 2022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620" w:type="dxa"/>
                  <w:tcBorders>
                    <w:top w:val="inset" w:sz="6" w:space="0" w:color="808080"/>
                    <w:right w:val="inset" w:sz="6" w:space="0" w:color="808080"/>
                  </w:tcBorders>
                  <w:noWrap w:val="0"/>
                  <w:tcMar>
                    <w:top w:w="22" w:type="dxa"/>
                    <w:left w:w="25" w:type="dxa"/>
                    <w:bottom w:w="25"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6А „Улесняване на разнообразяването, създаването и развитието на малки предприятия, както и разкриването на работни места“</w:t>
                  </w:r>
                </w:p>
              </w:tc>
              <w:tc>
                <w:tcPr>
                  <w:tcW w:w="3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8,96</w:t>
                  </w:r>
                </w:p>
              </w:tc>
              <w:tc>
                <w:tcPr>
                  <w:tcW w:w="3574"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6,65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Приемът по подмярката е проведен през 2018 г., като към края на 2022 г. от договорените 255 проектни предложения са извършени плащания само за 54 от тях. По данни от ДФЗ анулираните и прекратени договори по подмярката към края на периода са 49. Тези данни показват, че почти равният брой на изпълнените проекти и тези с прекратени/анулирани договори може да се дължи на забавянето на обработката на проектите и е показателно, че не са положени достатъчно  усилия за скъсяване на времето за обработка, чрез опростяване на правилата и намаляване на административната тежест.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данни показват, че изпълнението на мярката е трудно, което може да е в резултат на завишени изисквания за кандидатстване и изпълнение, които водят до затруднено извършване на предвидените дейности. Като друго затруднение при изпълнението може да се разглежда и достъпа до финансиране. Подмярката е включена за прилагане, чрез финансови инструменти, съгласно споразумение между УО, ДФЗ и ФМФИБ ЕАД. Към 31.12.2022 г. нито един бенефициент не се е възползвал от възможностите, които предлага този инструмент. Необходимо е да се положат допълнителни усилия за популяризирането на възможностите, предоставени от финансовите инструменти, с оглед гарантиране на необходимото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съгласно публикуваната Индикативна годишна работна програма за 2023 г. (ИГРП) се предвижда прием по подмярката. Предвид значителното затруднение при прилагането на подмярката, следва да се анализира обосноваността и необходимостта за отваряне на прием през 2023 г. Съществува риск проектите да не бъдат изпълнени в срок, позволяващ тяхното отчитане и изпълнение в периода, в който разходите по тях могат да бъдат счетени като допустими за възстановяване от 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6.4.2 „Инвестиции в подкрепа на неземеделски дейности по Тематичната подпрограма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с индикативен бюджет от 5.6 млн. евро публични средства, като до края на 2022 календарна година не е стартирана. Включена е в следващо изменение с предложение за извеждане от програмата и преразпределяне на бюджета към други, стартирали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приемите по подмярката са налични 704 действащи договора, с обща стойност на договорената субсидия в размер на 553,42 млн. евро общо публични средства. В края на 2022 г. по проектите са разплатени, съответно 497,89 млн. евро авансови, междинни и/или окончателни плащания, като 61,98 млн. евро общо публични средства са разплатени през 2022 г. Към края на оценявания период завършените проекти с изплатени окончателни плащания са 594, като изплатените разходи възлизат в размер на 472,74 млн. евро. Общия дял на междинните и окончателните плащания, извършени до края на 2022 г. възлиза в размер на 53.10 млн. евро общо публични средства, като са разпределени по области с поставен акцент, съгласно Таблица 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8 „Разплатени средства по Инвестиции в създаването, подобряването или разширяването на всички видове малка по мащаби инфраструктура“</w:t>
            </w:r>
          </w:p>
          <w:tbl>
            <w:tblPr>
              <w:tblStyle w:val="Table"/>
              <w:tblCellMar>
                <w:top w:w="15" w:type="dxa"/>
                <w:left w:w="15" w:type="dxa"/>
                <w:bottom w:w="15" w:type="dxa"/>
                <w:right w:w="15" w:type="dxa"/>
              </w:tblCellMar>
              <w:tblLook w:val="05E0"/>
            </w:tblPr>
            <w:tblGrid>
              <w:gridCol w:w="3529"/>
              <w:gridCol w:w="3452"/>
              <w:gridCol w:w="3459"/>
            </w:tblGrid>
            <w:tr>
              <w:tblPrEx>
                <w:tblCellMar>
                  <w:top w:w="15" w:type="dxa"/>
                  <w:left w:w="15" w:type="dxa"/>
                  <w:bottom w:w="15" w:type="dxa"/>
                  <w:right w:w="15" w:type="dxa"/>
                </w:tblCellMar>
                <w:tblLook w:val="05E0"/>
              </w:tblPrEx>
              <w:tc>
                <w:tcPr>
                  <w:tcW w:w="3572"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49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500" w:type="dxa"/>
                  <w:noWrap w:val="0"/>
                  <w:tcMar>
                    <w:top w:w="20" w:type="dxa"/>
                    <w:left w:w="20" w:type="dxa"/>
                    <w:bottom w:w="20" w:type="dxa"/>
                    <w:right w:w="20"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Разплатени публични средства през 2022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572"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5С)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c>
                <w:tcPr>
                  <w:tcW w:w="349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2.97</w:t>
                  </w:r>
                </w:p>
              </w:tc>
              <w:tc>
                <w:tcPr>
                  <w:tcW w:w="350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0,04</w:t>
                  </w:r>
                </w:p>
              </w:tc>
            </w:tr>
            <w:tr>
              <w:tblPrEx>
                <w:tblCellMar>
                  <w:top w:w="15" w:type="dxa"/>
                  <w:left w:w="15" w:type="dxa"/>
                  <w:bottom w:w="15" w:type="dxa"/>
                  <w:right w:w="15" w:type="dxa"/>
                </w:tblCellMar>
                <w:tblLook w:val="05E0"/>
              </w:tblPrEx>
              <w:tc>
                <w:tcPr>
                  <w:tcW w:w="3572"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6В) Стимулиране на местното развитие в селските райони</w:t>
                  </w:r>
                </w:p>
              </w:tc>
              <w:tc>
                <w:tcPr>
                  <w:tcW w:w="349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497.56</w:t>
                  </w:r>
                </w:p>
              </w:tc>
              <w:tc>
                <w:tcPr>
                  <w:tcW w:w="350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61.95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от 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е прието 1 проектно предложение по подмярката със заявени общо разходи 42,00 млн. евро, което е оттеглено от бенефициента ДАЕУ преди сключването на договор с ДФ „Земеделие“, поради отпадане на нуждата от финансиране във връзка с включване на подпомаганите дейности в Национален план за възстановяване и устойчивост (НПВУ).  След 31.12.2022 г., към датата на извършване на оценката, подмярката е предложена извеждане от ПРСР 2014-2020 г. с шестнадесетото изменение на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7.6. „Проучване и инвестиции, свързани с поддържане, възстановяване и подобряване на културното и природно наследство на селата” от 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действащите договори са 192 с обща договорена субсидия в размер на 55,41 млн. евро общо публични разходи. Извършените авансови, междинни и/или окончателни плащания са в размер на 24,12 млн. евро, като от тях са изплатени 22,33 млн. евро междинни и/или окончателни плащания, като сумите са разпределени по области с поставен акцент, съгласно Таблица 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9 „Разплатени средства по Подмярка 7.6. „Проучване и инвестиции, свързани с поддържане, възстановяване и подобряване на културното и природно наследство на селата” от мярка 7 „Основни услуги и обновяване на селата в селските райони“</w:t>
            </w:r>
          </w:p>
          <w:tbl>
            <w:tblPr>
              <w:tblStyle w:val="Table"/>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25"/>
              <w:gridCol w:w="3440"/>
              <w:gridCol w:w="3455"/>
            </w:tblGrid>
            <w:tr>
              <w:tblPrEx>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3588" w:type="dxa"/>
                  <w:tcBorders>
                    <w:bottom w:val="inset" w:sz="6" w:space="0" w:color="808080"/>
                    <w:right w:val="inset" w:sz="6" w:space="0" w:color="808080"/>
                  </w:tcBorders>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Приоритети/области с поставен акцент</w:t>
                  </w:r>
                </w:p>
              </w:tc>
              <w:tc>
                <w:tcPr>
                  <w:tcW w:w="350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51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Разплатени публични средства през 2022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c>
                <w:tcPr>
                  <w:tcW w:w="3588" w:type="dxa"/>
                  <w:tcBorders>
                    <w:top w:val="inset" w:sz="6" w:space="0" w:color="808080"/>
                    <w:right w:val="inset" w:sz="6" w:space="0" w:color="808080"/>
                  </w:tcBorders>
                  <w:noWrap w:val="0"/>
                  <w:tcMar>
                    <w:top w:w="22" w:type="dxa"/>
                    <w:left w:w="25" w:type="dxa"/>
                    <w:bottom w:w="25"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6В) Стимулиране на местното развитие в селските райони</w:t>
                  </w:r>
                </w:p>
              </w:tc>
              <w:tc>
                <w:tcPr>
                  <w:tcW w:w="350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24,12</w:t>
                  </w:r>
                </w:p>
              </w:tc>
              <w:tc>
                <w:tcPr>
                  <w:tcW w:w="351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1,97</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база оценка на проектите по критериите за подбор (Брой население, което ще се възползва от допустимите дейности) и на база данни за действащите договори към края на 2022 г. от реализираните инвестиции по проектите ще се възползват 2,56 млн. души.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подмярката до края на 2022 г. са подпомагнати общо 54 манастира, 136 храма на Източноправославното вероизповедание и 2 храма на Католическата църква в България.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предвид общо договорената субсидия в размер на 55,41 млн. евро и реално разплатените средства в размер на 24,12 може да се заключи, че предвид стартирането на подмярката през 2018 г. се наблюдава сериозно забавяне при изпълнението на приема, организиран през 2020 г. Показателен за това е иразмера на извършените през 2022 г. плащания, който възлиза едва на 1,97 млн. евро, като голяма част от тези плащания се дължи на изплатени аванси.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8 „Инвестиции в развитие на горските райони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ПРСР 2014-2020 г., мярка 8 се прилага с 4 подмерки: Подмярка 8.1. “Залесяване и поддръжка”, Подмярка 8.3. “Предотвратяване на щети по горите от горски пожари, природни бедствия и катастрофични събития”, Подмярка 8.4. “Възстановяване на щети по горите от горски пожари, природни бедствия и катастрофични събития” и Подмярка 8.6. “Инвестиции в технологии за лесовъдство и в преработката, мобилизирането и търговията на горски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8.1. „Залесяване и поддръжка“ - Има за цел чрез залесяването да стимулира поглъщането и съхраняването на въглерода и опазване на почвите от ерозия. С увеличаването на лесистостта нарастват териториите, за които е доказано, че най-добре поглъщат и съхраняват въглерода - горите. Мерки, които могат да дадат резултат са залесяване на изоставени земеделски земи, горски територии, ерозирали и застрашени от ерозия територии извън горските територии. 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8.3. “Предотвратяване на щети по горите от горски пожари, природни бедствия и катастрофични събития” – подпомагането по подмярката има за цел, чрез прилагане на различни превантивни мерки да се повлияе върху възникването на горски пожари и други негативни събития, причинени от природни бетствия. Инвестициите по тази подмярка ще спомогнат за опазване на горите и ще създадат условия за превенция на различни събития, които имат отрицателно въздействие върху горите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8.4. “Възстановяване на щети по горите от горски пожари, природни бедствия и катастрофични събития” цели навременно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8.6. “Инвестиции в технологии за лесовъдство и в преработката, мобилизирането и търговията на горски продукти” подпомагането има за цел да подобри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Подпомагането по подмярката е насочено към устойчивото управление на горите чрез извършването на сечи, с цел подобряване здравословното състояние на горите, възобновяване, запазване на генетичните ресурси, добив на дървесина, както и запазване и увеличаване на основните функции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Оценителният екип препоръчва да се обърне особено внимание на интервенциите от СП, свързани със създаване, възстановяване и опазване на българските гори. Фактът, че по всички подмерки от мярка 8 в настоящия програмен период е регистрирано значително забавяне при одобрение, изпълнение и отчитане на проектите е показателен, че в следващия програмен период УО следва да анализира причините, довели до затруднения при прилагането на тези инвестиции. Подпомагането в този сектор е изключително важно за опазване на природното наследство на България, като допринася за опазване на растителния и животинския  видов състав на българските гори, а от там и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бъдат извършени анализи, в резултат на които, да бъдат насочени допълнителни усилия за опростяване на правилата и намаляване на административната тежест, както на етап кандидатстване, така и на етап отчитане и приключване на проектите.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8.1 „Залесяване и поддръжка“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насочено към проекти, които допринасят за постигане на целите, към които е насочена подмярката, а именно увеличаване на лесистостта в равнинните райони, ограничаване  на ерозията и запазване на качеството на земите, подобряване на водния баланс и адаптиране към промените в климата.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планираното изпълнение на ПРСР подкрепените проекти по подмярката следва да допринесат за постигане на ефект по отношение изпълнението на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 с поставени акценти в област 5Е „Стимулиране на поглъщането на въглерода в областта на селското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няма извършени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8.3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„Предотвратяване на щети по горите от горски пожари, природни бедствия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8.3 „Предотвратяване на щети по горите от горски пожари, природни бедствия и катастрофични събития“ е насочено към въвеждане и подобряване на превантивни дейности за намаляване на опасността от горски пожари и за намаляване на опасността от вредители, болести, природни бедствия и катастрофични събития в горските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за постигане на ефект по отношение изпълнението на Приоритет 4: „Възстановяване, опазване и укрепване на екосистемите, зависещи от селското и горското стопанство“ и области с поставен акцент 4А „Възстановяване и запазване на биологичното разнообразие, включително в зони по Натура 2000 и земеделие с висока природна стойност и състоянието на европейските природни дадености“, 4В „Подобряване управлението на водите“ и 4C „Подобряване управлението на почвите“.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действащи са 21 договора за финансово подпомагане като размерът на одобрената субсидия възлиза в размер на 16,78 млн. евро публични средства. Договори са сключени с 13 общини като одобрената субсидия е в размер на 12,14 млн. евро. 6 от подписаните договори са с органите по управление и стопанисване на горите в България, като тяхната стойност в размер на 3,75 млн. евро субсидия, един от сключените договори е с местно поделение на вероизповеданията в размер на 0,19 млн. евро, а един проект е на частно юридическо лице и е в размер на 0,71 млн. евро. Към 31.12.2022 г. по подмярката са изплатени 7,38 млн. евро, като изплатената сума по окончателно приключените проекти е в размер на 3,90 млн. евро.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8.4 „Възстановяване на щети по горите от горски пожари, природни бедствия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8.4 „Възстановяване на щети по горите от горски пожари, природни бедствия и катастрофични събития“ е насочено към възстановяване на горите, пострадали от горски пожари, природни бедствия, катастрофични събития, болести и вредители, както и защита на околната среда и адаптиране към промените в климата.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за постигане на ефект по отношение изпълнението на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 и област с поставен акцент 5Е „Стимулиране на поглъщането на въглерода в областта на селското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действащите договори за финансово подпомагане са 8като одобрената субсидия възлиза в размер на 2,15 млн. евро публични средства. Договори са сключени с 5 общини, като одобрената субсидия е в размер на 0,59 млн. евро. 3 от подписаните договори са с държавни предприятия, като тяхната стойност в размер на 1,56 млн. Евро. Към 31.12.2022 г. са извършени само авансови плащания в рамер на 0,73 млн.евро.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8.6 „Инвестиции в технологии за лесовъдство и в преработката, мобилизирането и търговията с горски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8.6 „Инвестиции в технологии за лесовъдство и в преработката, мобилизирането и търговията с горски продукти“ е насочено към подобряване на конкурентоспособността и създаването на нови работни места, чрез насърчаване преработката и подобряване маркетинга на горските продукти, както и подобряване състоянието на горите, тяхното опазване и устойчиво стопанисване.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следва да допринесат за постигане на ефект по отношение изпълнението на ПРСР по области с поставен акцент 2С+ „Подобряване на икономическите резултати на фирмите в горското стопанство, дърводобива и първичната преработка на дървесина“.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са налично 47 действащи доковора с размер на одобрената субсидия възлизащ на 9,93 млн. евро. В края на оценявания период успешно са приключили 6 проектни предложения, като по тях се извършени окончатлени плащания в размер на 0,98 млн. евро. Вички плащания по подмярката са извършени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9: Учредяване на групи и организации на производителите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9 „Учредяване на групи и организации на производителите“ е насочено към учредяване на групи и организации на производители в земеделския сектор.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действащите договори са 27 с общ размер на одобрената субсидия 8,17 млн. евро. Размерът на изплатените публични средства към края на 2022 г. по подмярка е в размер на 3,75 млн. евро. Към края на отчетния период чрез подмярката са подпомогнати общо 469 регистрирани членове на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Подкрепените проекти по подмярката допринасят за постигане на ефект по отношение изпълнението на ПРСР по области с поставен акцент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 като общо броят на отделните членове в одобрените групи е 469.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Приеми по мерки и подмерки от ПРСР 2014-2020,  свързани с плащане на площ и подпомагане на животинска единица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01.01.2015 г. до 31.12.2022 г. в рамките на годишните кампании по директни плащания се прилагат мерки и подмерки от Програмата, основно свързани с плащане на площ, т.нар. „ИСАК базирани“, както и две извънредни мерки с компенсаторен характер: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10 „Агроекология и климат“,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12 „Плащания по „Натура-2000” и Рамковата директива за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13 „Плащания за райони, изправени пред природни или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календарна година, по мерките с плащане на площ и животни са изплатени одобрените заявления от кампания 2021, с изключение на Мярка 12 и Мярка 13, по която ДФЗ изплаща повечето заявки както от кампания 2022, така и от кампания 2021.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да осигури прозрачност в дейността си, ДФЗ публикува информация за схемите и мерките, които администрира, както и указания за тяхното прилагане на официалната си интернет страница www.dfz.bg.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Разработена е и система за индивидуална справка по заявленията на бенефициентите, както и Системата за електронни услуги на ДФЗ с данни по мeрки 10 и 11 от ПРСР 2014-2020, където бенефициентите могат да проверят състоянието на парцелите, пчелините и животните, също така и данни от различни външни институции.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процеса на подаване на заявления за плащане в ДФЗ са разработени голям брой софтуерни предупреждения, които да редуцират грешките от страна на бенефициентите.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Завишен е и контролът по заявленията, чрез въвеждане на повече данни от бази данни на външни институции.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мерките с плащане на площ като цяло е завършен процесът по одобряване и изплащане на заявените през 2021 г. ангажименти (кампания 2021), като в допълнение, са изплатени и голяма част от заявките и от кампания 2022 по Мярка 12 и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Таблица № 10, по-долу, са представени разплатените суми по години, по мерките с плащане на площ 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10 „Разплатени средства по години за мерките с плащане на площ и животни“</w:t>
            </w:r>
          </w:p>
          <w:tbl>
            <w:tblPr>
              <w:tblStyle w:val="Table"/>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689"/>
              <w:gridCol w:w="957"/>
              <w:gridCol w:w="1116"/>
              <w:gridCol w:w="1116"/>
              <w:gridCol w:w="1116"/>
              <w:gridCol w:w="1116"/>
              <w:gridCol w:w="1116"/>
              <w:gridCol w:w="1116"/>
              <w:gridCol w:w="1116"/>
              <w:gridCol w:w="962"/>
            </w:tblGrid>
            <w:tr>
              <w:tblPrEx>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25"/>
              </w:trPr>
              <w:tc>
                <w:tcPr>
                  <w:tcW w:w="754" w:type="dxa"/>
                  <w:tcBorders>
                    <w:bottom w:val="inset" w:sz="6" w:space="0" w:color="808080"/>
                    <w:right w:val="inset" w:sz="6" w:space="0" w:color="808080"/>
                  </w:tcBorders>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w:t>
                  </w:r>
                </w:p>
              </w:tc>
              <w:tc>
                <w:tcPr>
                  <w:tcW w:w="117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Бюджет на мярката 2014-2020, млн. евро публични средства, към 31.12.2022 (14то изм.)</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за календарна 2016 г., млн. евро публични средства</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 за календарна 2017 г., млн. евро публични средства</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 за календарна 2018 г., млн. евро публични средства</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 за календарна 2019 г., млн.  евро публични средства</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 за календарна 2020 г., млн.  евро публични средства</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 за календарна 2021 г., млн. евро публични средства</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 за календарна 2022 г., млн. евро публични средства</w:t>
                  </w:r>
                </w:p>
              </w:tc>
              <w:tc>
                <w:tcPr>
                  <w:tcW w:w="106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Платени общо млн. евро, публични средства към 31.12.2022 г.</w:t>
                  </w:r>
                </w:p>
              </w:tc>
            </w:tr>
            <w:tr>
              <w:tblPrEx>
                <w:tblCellMar>
                  <w:top w:w="15" w:type="dxa"/>
                  <w:left w:w="15" w:type="dxa"/>
                  <w:bottom w:w="15" w:type="dxa"/>
                  <w:right w:w="15" w:type="dxa"/>
                </w:tblCellMar>
                <w:tblLook w:val="05E0"/>
              </w:tblPrEx>
              <w:trPr>
                <w:trHeight w:val="285"/>
              </w:trPr>
              <w:tc>
                <w:tcPr>
                  <w:tcW w:w="75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М10</w:t>
                  </w:r>
                </w:p>
              </w:tc>
              <w:tc>
                <w:tcPr>
                  <w:tcW w:w="117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282,4</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28,6</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41,9</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42,9</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30,2</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31,7</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22,0</w:t>
                  </w:r>
                </w:p>
              </w:tc>
              <w:tc>
                <w:tcPr>
                  <w:tcW w:w="106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215,5</w:t>
                  </w:r>
                </w:p>
              </w:tc>
            </w:tr>
            <w:tr>
              <w:tblPrEx>
                <w:tblCellMar>
                  <w:top w:w="15" w:type="dxa"/>
                  <w:left w:w="15" w:type="dxa"/>
                  <w:bottom w:w="15" w:type="dxa"/>
                  <w:right w:w="15" w:type="dxa"/>
                </w:tblCellMar>
                <w:tblLook w:val="05E0"/>
              </w:tblPrEx>
              <w:trPr>
                <w:trHeight w:val="285"/>
              </w:trPr>
              <w:tc>
                <w:tcPr>
                  <w:tcW w:w="75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М11</w:t>
                  </w:r>
                </w:p>
              </w:tc>
              <w:tc>
                <w:tcPr>
                  <w:tcW w:w="117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233,9</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14,7</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33,8</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21,6</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17,7</w:t>
                  </w:r>
                </w:p>
              </w:tc>
              <w:tc>
                <w:tcPr>
                  <w:tcW w:w="106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168,8</w:t>
                  </w:r>
                </w:p>
              </w:tc>
            </w:tr>
            <w:tr>
              <w:tblPrEx>
                <w:tblCellMar>
                  <w:top w:w="15" w:type="dxa"/>
                  <w:left w:w="15" w:type="dxa"/>
                  <w:bottom w:w="15" w:type="dxa"/>
                  <w:right w:w="15" w:type="dxa"/>
                </w:tblCellMar>
                <w:tblLook w:val="05E0"/>
              </w:tblPrEx>
              <w:trPr>
                <w:trHeight w:val="285"/>
              </w:trPr>
              <w:tc>
                <w:tcPr>
                  <w:tcW w:w="75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М12</w:t>
                  </w:r>
                </w:p>
              </w:tc>
              <w:tc>
                <w:tcPr>
                  <w:tcW w:w="117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204,7</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24,6</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22,8</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23,4</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24,0</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06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198,0</w:t>
                  </w:r>
                </w:p>
              </w:tc>
            </w:tr>
            <w:tr>
              <w:tblPrEx>
                <w:tblCellMar>
                  <w:top w:w="15" w:type="dxa"/>
                  <w:left w:w="15" w:type="dxa"/>
                  <w:bottom w:w="15" w:type="dxa"/>
                  <w:right w:w="15" w:type="dxa"/>
                </w:tblCellMar>
                <w:tblLook w:val="05E0"/>
              </w:tblPrEx>
              <w:trPr>
                <w:trHeight w:val="285"/>
              </w:trPr>
              <w:tc>
                <w:tcPr>
                  <w:tcW w:w="75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М13</w:t>
                  </w:r>
                </w:p>
              </w:tc>
              <w:tc>
                <w:tcPr>
                  <w:tcW w:w="117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383,8</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43,3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45,2</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93,4</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51,4</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50,6</w:t>
                  </w:r>
                </w:p>
              </w:tc>
              <w:tc>
                <w:tcPr>
                  <w:tcW w:w="106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382,7</w:t>
                  </w:r>
                </w:p>
              </w:tc>
            </w:tr>
            <w:tr>
              <w:tblPrEx>
                <w:tblCellMar>
                  <w:top w:w="15" w:type="dxa"/>
                  <w:left w:w="15" w:type="dxa"/>
                  <w:bottom w:w="15" w:type="dxa"/>
                  <w:right w:w="15" w:type="dxa"/>
                </w:tblCellMar>
                <w:tblLook w:val="05E0"/>
              </w:tblPrEx>
              <w:trPr>
                <w:trHeight w:val="285"/>
              </w:trPr>
              <w:tc>
                <w:tcPr>
                  <w:tcW w:w="75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M14</w:t>
                  </w:r>
                </w:p>
              </w:tc>
              <w:tc>
                <w:tcPr>
                  <w:tcW w:w="117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24,8</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w:t>
                  </w:r>
                </w:p>
              </w:tc>
              <w:tc>
                <w:tcPr>
                  <w:tcW w:w="106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w:t>
                  </w:r>
                </w:p>
              </w:tc>
            </w:tr>
            <w:tr>
              <w:tblPrEx>
                <w:tblCellMar>
                  <w:top w:w="15" w:type="dxa"/>
                  <w:left w:w="15" w:type="dxa"/>
                  <w:bottom w:w="15" w:type="dxa"/>
                  <w:right w:w="15" w:type="dxa"/>
                </w:tblCellMar>
                <w:tblLook w:val="05E0"/>
              </w:tblPrEx>
              <w:trPr>
                <w:trHeight w:val="285"/>
              </w:trPr>
              <w:tc>
                <w:tcPr>
                  <w:tcW w:w="75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17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1 129,6</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111,2</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149,8</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171,3</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130,7</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119,9</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153,8</w:t>
                  </w:r>
                </w:p>
              </w:tc>
              <w:tc>
                <w:tcPr>
                  <w:tcW w:w="106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981,2</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10 „Агроекология и климат“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2015 - 2022 г. мярката се прилага в пълен обхват със следните направления (изключение е кампания 2020, след която вече не се подпомагат площи по направление „Поддържане на местообитанията на защитени видове в обработваеми земи с орнитологично значение“) През 2022  не се подпомагат площи по направление„Поддържане на местообитанията на Царски орел и Египетски лешояд в обработваеми земи с орнитологично значение“):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Възстановяване и поддържане на постоянно затревени площи с висока природна стойност (ВПС);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Поддържане на местообитанията на зимуващите видове гъски и ливаден блатар в обработваеми земи с орнитологично значение;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Поддържане на местообитанията на Царски орел и Египетски лешояд в обработваеми земи с орнитологично значение;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Контрол на почвената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Традиционни практики за сезонна паша (пасторализъм);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Опазване на застрашени от изчезване местни породи, важни за селското стопанство, 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мярка 10 са изплатени кампании 2015–2021, като общата стойност на изплатените разходи (заедно с плащанията по преходни ангажименти от предишния програмен период) към тази дата е 215,5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2021, която е оторизирана и разплащана през календарната 2022 г. са оторизирани площи общо в размер на 67,99 хил. ха, от които 28,39 хил. ха по направление „Възстановяване и поддържане на затревени площи с висока природна стойност (ВПС)“, не са подпомагани площи по направление „Поддържане на местообитанията на защитени видове в обработваеми земи с орнитологично значение“(113,00 хил. ха подпомогнати в кампания 2020), 19,70 хил. ха по направление „Традиционни практики за сезонна паша (пасторализъм)“, 15,20 хил. ха по направление „Контрол на почвената ерозия“, 3,70 хил. ха по направление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Мярка 11 „Биологично земеделие“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обхваща прилагането на две подмерки: подмярка 11.1 „Плащания за преминаване към биологично земеделие“, и подмярка 11.2 „Плащания за поддържане на биологично земеделие”, като подпомагане е предвидено в три направления - биологично растениевъдство, биологично пчеларство и биологично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2015 г. - 2022 г. мярката се прилага в пълен обхват с двете си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мярка 11 са изплатени кампании 2015–2021, като общата стойност на изплатените разходи (заедно с плащанията по преходни ангажименти от предишния програмен период) към тази дата е 168,8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2021, която е оторизирана и разплащана през календарната 2022 г. са оторизирани площи общо в размер на 46,37 хил. ха, от които 3,5 хил. ха по направление „Плащания за преминаване към биологично земеделие за ха ИЗП“, и 42,9 хил. ха по направление „Плащания за поддържане на биологично земеделие за ха ИЗП“.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Изводът, който и тази година може да се затвърди е, че с всяка изминала година кандидатстващите бенефициенти се установяват като вече действащи биологични производители, което е добра тенденция от гледна точка на устойчивост на подпомагането.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12 „Плащания по „Натура-2000” и Рамковата директива за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Темпът на усвояване на средствата по мярката е равномерен, като участват сходен брой бенефициенти, които стопанисват земеделски земи в защитени зони от Натура 2000. Мярката се прилага частично – само подмярка 12.1. Компенсаторни плащания за земеделски площи в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 2022 г., са извършени плащания на заявените в кампаниите от 2015 г. до 2022 г. ангажименти на обща стойност 198,0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2021, която е оторизирана и разплащана през календарната 2022 г. са оторизирани площи общо в размер на 421,85 хил. ха, за над 11 400 одобрени заявления.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същата календарна 2022 година е обработена и разплатена и кампания 2022, като за нея са оторизирани площи общо в размер на 488,56 хил. ха, за над 12 700 одобрени заявления. Увеличението е около 5 до 10% в сравнение с подпомогнатите площи от предходни кампании (за сравнение, кампания 2020 – 408 хил. ха), но като цяло подпомогнатите площи остават на подобно ниво сравнени с кампании 2015 и 2016 (съответно 410 и 450,00 хил.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Тъй като в една календарна година е налично разплащане и обработка на две кампании, в таблиците, въведени в SFC2014 ще бъдат отчетени по-голямата подпомогната площ и по-големият брой заявления, а именно кампания 2022.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13 „Плащания за райони, изправени пред природни или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за кампании 2015-2022 са изплатени общо 382,7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разлика от повечето от останалите площни мерки, при които през 2022 г. бе разплащана кампания 2021, в края на календарната 2022 г. по Мярка 13 бе извършена оторизация, и изплатена кампания 2022.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2022, която е оторизирана и разплащана през календарната 2022 г. са оторизирани площи общо в размер на 681,49 хил. ха, за над 29 000 одобрени заявления, като подпомогнатите площи по двете направления на подмерките са съответно 388,06 хил. ха за подмярка 13.1 "Компенсационни плащания в планински райони" и 278,90 хил. ха за подмярка 13.2 "Компенсационни плащания за други райони, засегнати от значителни природни ограничения". За стартиралата през 2020 г. подмярка 13.3, подпомогнатите площи за кампания 2022 са в размер на 14,53 хил.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настоящия доклад, в приложенията към него в SFC2014 като статистика са въведени хектарите от кампания 2022 за подмерки 13.1, 13.2 и 13.3.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Тенденцията при кандидатстване и одобрение по мярката е сравнително постоянна – за подмярка 13.1 средно се одобряват 330-390 хил. ха за кампания, при подмярка 13.2 – 250-280 хил. ха за кампания, а при подмярка 13.3 – средно 14-14,5 хил.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14 "Хуманно отношение към животните" стартира за пръв път с кампания през 2017 г., и две подмерки – подмярка 14.1 "Хуманно отношение към животните в сектор ЕПЖ", и подмярка 14.2 "Хуманно отношение към животните в сектор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разлика от мерки 12 и 13, по мярка 14 в рамките на календарната 2022 година е обработена и разплатена капмания 2021 - за подмярка 14.1 "Хуманно отношение към животните в сектор ЕПЖ" са подпомогнати 514 заявления със 79,45 хил. животински единици (ЖЕ), а по подмярка 14.2 "Хуманно отношение към животните в сектор ДПЖ" – 447 заявления с 29,17 хил. 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изплатените средства общо по двете подмерки са в размер на 16,10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16 „Сътрудничество“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16.1 „Подкрепа за сформиране и функциониране на оперативни групи в рамките на ЕПИ“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16.1 „Подкрепа за сформиране и функциониране на оперативни групи в рамките на ЕПИ“ е насочено към функциониране на оперативни групи, създадени за изпълнение на конкретен иновативен проект за постигане на целите на Европейското партньорство за иновации (ЕПИ) за селскостопанска производителност и устойчивост.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са реализирани два приема през 2019 и 2020 г. с общ бюджет 30,53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сключените договори по подмярка 16.1 към края на 2022 г. са 19 броя на обща стойност на публичните средства в размер на 5,78 млн. евро от първия прием, като приетите проектни предложения от втория прием са в процес на обработка към 31.12.2022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действащи са 19 договора за предоставяне на безвъзмездна финансова помощ с общ размер на финансовата помощ от 5,79 млн. евро. Към 31.12.2022 г. по подмярка 16.1 „Подкрепа за сформиране и функциониране на оперативни групи в рамките на ЕПИ“ са извършвани плащания в размер на 1,33 млн. евро, като всички плащания са извършени в рамките на оценявания период и са разпределени по приоритети, съгласно таблица 11.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бъдат извършени анализи, в резултат на които, да бъдат насочени допълнителни усилия за опростяване на правилата и намаляване на административната тежест, както на етап кандидатстване, така и на етап отчитане и приключване на проектите.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Таблица 11 „Разплатени средства по подмярка 16.1 „Подкрепа за сформиране и функциониране на оперативни групи в рамките на ЕПИ“</w:t>
            </w:r>
          </w:p>
          <w:tbl>
            <w:tblPr>
              <w:tblStyle w:val="Table"/>
              <w:tblCellMar>
                <w:top w:w="15" w:type="dxa"/>
                <w:left w:w="15" w:type="dxa"/>
                <w:bottom w:w="15" w:type="dxa"/>
                <w:right w:w="15" w:type="dxa"/>
              </w:tblCellMar>
              <w:tblLook w:val="05E0"/>
            </w:tblPr>
            <w:tblGrid>
              <w:gridCol w:w="3541"/>
              <w:gridCol w:w="3449"/>
              <w:gridCol w:w="3450"/>
            </w:tblGrid>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Приоритети/области с поставен акцент </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разплатени публични средства към 31.12.2022 г. (млн. евро)</w:t>
                  </w:r>
                </w:p>
              </w:tc>
              <w:tc>
                <w:tcPr>
                  <w:tcW w:w="3490" w:type="dxa"/>
                  <w:noWrap w:val="0"/>
                  <w:tcMar>
                    <w:top w:w="20" w:type="dxa"/>
                    <w:left w:w="20" w:type="dxa"/>
                    <w:bottom w:w="20" w:type="dxa"/>
                    <w:right w:w="20"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Разплатени публични средства през 2022 г.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(млн. евро)</w:t>
                  </w:r>
                </w:p>
              </w:tc>
            </w:tr>
            <w:tr>
              <w:tblPrEx>
                <w:tblCellMar>
                  <w:top w:w="15" w:type="dxa"/>
                  <w:left w:w="15" w:type="dxa"/>
                  <w:bottom w:w="15" w:type="dxa"/>
                  <w:right w:w="15" w:type="dxa"/>
                </w:tblCellMar>
                <w:tblLook w:val="05E0"/>
              </w:tblPrEx>
              <w:trPr>
                <w:trHeight w:val="1236"/>
              </w:trPr>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0,45</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0,45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0,15</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0,15</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5A Повишаване на ефективността при потреблението на вода в селското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0,07</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0,07</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5B Повишаване на ефективността при потреблението на енергия в селското стопанство и хранително-вкусовата промишленост</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0,04</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0,04</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5C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0,14</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0,14</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5D Намаляване на емисиите на парникови газове и амоняк от селското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0,08</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0,08</w:t>
                  </w:r>
                </w:p>
              </w:tc>
            </w:tr>
            <w:tr>
              <w:tblPrEx>
                <w:tblCellMar>
                  <w:top w:w="15" w:type="dxa"/>
                  <w:left w:w="15" w:type="dxa"/>
                  <w:bottom w:w="15" w:type="dxa"/>
                  <w:right w:w="15" w:type="dxa"/>
                </w:tblCellMar>
                <w:tblLook w:val="05E0"/>
              </w:tblPrEx>
              <w:tc>
                <w:tcPr>
                  <w:tcW w:w="3584"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P4 Възстановяване, опазване и укрепване на екосистемите, свързани със селското и горското стопанство</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0,41</w:t>
                  </w:r>
                </w:p>
              </w:tc>
              <w:tc>
                <w:tcPr>
                  <w:tcW w:w="3490"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0,41</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16.4 „Подкрепа за хоризонтално и вертикално сътрудничество между участниците във веригата на доставки“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Подпомагането обхваща само къси вериги на доставки, които включват не повече от един посредник между земеделския стопанин и потребителя. Местни пазари са пазари в радиус от 75 км от стопанството на произход на продукта, в който радиус трябва да се осъществяват както преработката на продукта, така и продажбата му на крайния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има сключени 4 административни договора по подмярка 16.4 „Подкрепа за хоризонтално и вертикално сътрудничество между участниците във веригата на доставки“ от мярка 16 „Сътрудничество“ към тази дата има 3 действащи договора с безвъзмездна финансова помощ 0,28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няма извършени плащания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бъдат извършени анализи, в резултат на които, да бъдат насочени допълнителни усилия за опростяване на правилата и намаляване на административната тежест, както на етап кандидатстване, така и на етап отчитане и приключване на проектите. В резултат на извършените анализи, и при необходимост, следва да се извършат необходимите изменения в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19 – Водено от общностите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19 „Водено от общностите местно развитие“ е насочено към стимулиране на местното развитие в селските район и получава подкрепа от ПРСР, ОПИК, ОПРЧР, ОПОС, ОПНОИР по един или по няколко приоритета на съответната програма или програми в съответствие с правилата за тези фондове. 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програмния период 2014-2020 подхода LEADER/ВОМР включва 64 местни инициативни групи, включващи територията на 117 общини, с население 1 646 496 души и територия 53 828 кв. км.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19.1 “Помощ за подготвителни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19.2 „Прилагане на операции в рамките на стратегии за Водено от общностите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19.3 „Подготовка и изпълнение на дейности за сътрудничество на МИГ“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19.4 „Текущи разходи и популяризиране на стратегия за водено от общностите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Подмярка 19.1 “Помощ за подготвителни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подмярка 19.1 стартира през 2015 г. с провеждане на два приема на заявления за подпомагане, в рамките на които постъпват общо 133 заявления. Сключени са 100 договора на обща стойност 2 596 270,45 евро, в които за изпълнение на дейности по подмярката участваха 180 общини, обхващащи население от 2 309 619 жители и територия от 74 433 кв. км, което представлява 78% от територията на селските райони на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изпълнените дейности от бенефициентите са организирани и проведени около 1200 публични събития (конференции, семинари, срещи, обучения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е проведена първата процедура за набиране на проектни предложения по подмярката в частта на малките пилотни проекти на мярка 19 „Водено от общностите местно развитие“, по която са постъпили 7 проектни предложения на обща стойност 0,10 млн. евро, от които са одобрени 6 на обща стойност 0,08 млн. евро. През същата година е стартирала и втора процедура по подмярката в частта на малките пилотни проекти, по която са приети 24 проектни предложения с общ размер на заявената субсидия 2,16 млн. евро, като действащите към момента договори са 12 на с общ размер на одобреното финансиране 0,80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е проведена процедура за подбор на проектни предложения по подмярката с бюджет в размер на 3,50 млн. евро, по която са постъпили 111 проектни предложения с обща стойност на безвъзмездната финансова помощ (БФП) в размер на 2,67 млн. евро, от които 60 са подадени от МИГ, изпълняващи стратегии за ВОМР, 27 – от МИГ, които не изпълняват стратегия за ВОМР и 24 – са подадени от общини, кандидатстващи за създаване на местно партньорство. Четири от общините, участващи в МИГ и изпълняващи стратегия за ВОМР, са част от проектни предложения за създаване на ново местно партньорство или за присъединяване към съседни МИГ.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края на оценявания период проектните предложения са в процес на оценка.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датата на извършване на настоящата оценка са одобрени за финансиране 107 проектни предложения с общ размер на БФП в размер на 2,53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Обща стойност на изплатените средства по подмярката към края на 2022 г. с натрупване е 2,02 млн. евро, като през 2022 г. е извършено плащане по един от пилотните проекти в размер на 0,01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Подмярка 19.2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не са провеждани нови приеми на заявления за подбор на МИГ и одобрение на стратегии за ВОМР, като одобрените МИГ са 64, действащи в 117 общини, обхващащи територия от 53,8 хил. кв. км. и 1,65 млн. население. От 64 стратегии, 25 са еднофондови, а 39 са многофондови.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преходния период 2021 – 2022 г. бюджетът на подмярката за проекти към СВОМР е увеличен с 26,17 млн. евро, като всяка една от МИГ, изпълняваща стратегии за ВОМР, получи допълнително финансиране по линия на ЕЗФРСР в размер на 0,47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този начин средствата за проекти към изпълняващите се към момента стратегии по подхода ВОМР, с предоставения за преходния период бюджет, са в размер на 182,50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 декември 2022 г., договорените проекти с други източници на финансиране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ОПОС /ЕФРР/ - 11 договора с БФП в размер на 6,48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ОПИК /ЕФРР/ - 204 договора с БФП в размер на 25,74млн.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ОПРЧР /ЕСФ/ - 276 договора с БФП в размер на 19,13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ОПНОИР /ЕФРР, ЕСФ/ - 54 договора с БФП в размер на 4,35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Съответно, за 2022 г. разплатените проекти по други източници на финансиране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ОПОС /ЕФРР/ - по 11 договора са извършени плащания в размер на 3,02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ОПИК / ЕФРР/ - по 156 договора са извършени плащания в размер на 20,45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ОПРЧР /ЕСФ/ - по 244 договора са извършени плащания в размер на 16,55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ОПНОИР /ЕФРР, ЕСФ/ - по 54 договора са извършени плащания в размер на или 2,84 млн. евро, от които окончателните са в размер на 1,06 млн. евро по 13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подмярката действащите договори са 1048 на обща стойност 52,15 млн. евро, като са извършени разплащания от ЕЗФРСР по 1048 проекта в размер на 20,69 млн. евро общо публични средства с авансово плащане, от които по 391 проекта е извършено междинно или окончателно плащане в размер на 17,08 млн, евро, от които само за отчетния период разплащанията са в размер на 13,45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изготвените планове за действие и след успешното прилагане на мерките за подобряване дейността на ДФ „Земеделие“ към 31.12.2022 г. са обаботени всички постъпили до този момент проектни предложения.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Подмярка 19.3 „Подготовка и изпълнение на дейности за сътрудничество на МИГ“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проекти за подготовка и реализация на вътрешнотериториално и транснационално сътрудничество.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МИГ се насърчават да осигурят принос в развитието на съответните селски райони, чрез взаимодействие и реализиране на съвместни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подмярката е 6,50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са обявявани няколко приема, като, съгласно Регламент (ЕС) 1305/2013 кандидатстването по подмярката е текущо.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по процедура № BG06RDNP001-19.607 с бюджет в размер на левовата равностойност на 3,5 млн. евро са подадени общо 9 проектни предложения със заявен бюджет в размер на 1,56 млн. евро, като към 31.12.2023 г. проектите са в процес на оценка.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подмярката са извършени разплащания в размер на близо 1,09 млн.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Подмярка 19.4 „Текущи разходи и популяризиране на стратегия за водено от общностите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19.4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след увеличаване на общия бюджет за ВОМР по ПРСР 2014-2020 г., беше увеличен и бюджетът по подмярката за всяка МИГ. В резултат на това, към 31.12.2022 г. общият одобрен размер на финансовата помощ за МИГ по подмярка 19.4 е в размер на 34,26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по подмярката на МИГ от страна на Разплащателна агенция са възстановени общо публични средства в размер на 24,50 млн. евро, като разплатените средства само през 2022 г. са в размер на 4,8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Мярка 20 „Техническа помощ“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20 „Техническа помощ“ има ключова роля за прилагане на Програмата. Това се постига чрез дейности, насочени към осигуряване на информираност и публичност на ПРСР, извършване на анализи, проучвания, изследвания и оценки, както и техническо обезпечение и възнаграждения за УО и 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по мярката са постъпили заявления за подпомагане с обща стойност от 59,6 млн. евро, а сключените договори и изпълнените дейности по мярката са на обща стойност 49,06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договори имат значителен принос за популяризиране на разходването на средства от ЕЗФРСР, тъй като чрез тяхното изпълнение, на широката общественост са представени проекти, финансирани със средства от ПРСР 2014-2020 г., обучени са, както кандидати и бенефициенти на ПРСР, вкл. и местни инициативни групи, така и представители на администрацията, ангажирана с прилагането на ПРСР (Управляващия орган и Разплащателната агенция).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по мярката са разплатени 41,7 млн.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 "Извънредно временно подпомагане за земеделските стопани и МСП, които са особено засегнати от кризата, предизвикана от COVID-19" от Програмата за развитие на селските райони за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в въведена с изпращането на осмо изменение на ПРСР на 23.07.2020 г. През 2020 г са направени редица изменения на мярката, с цел прецизиране на текстовете с оглед правилното насочване на подпомагането към особено засегнати от кризата, предизвикана от COVID-19, земеделски стопани и МСП, преработващи селскостопански продукти и 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по подмерки  21.1 и 21.2 по финансов план е разпределено във фокус област 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 а средствата по подмярка 21.3 са разпределени във фокус област 6А „Улесняване на разнообразяването, създаването и развитието на малки предприятия, както и разкриването на работни места“.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21 "Извънредно временно подпомагане за земеделските стопани и малки и средни предприятия, които са особено засегнати от кризата, предизвикана от COVID-19" се предоставя в три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подмярка 21.1 "Извънредно временно подпомагане за земеделските стопани COVID 1" – за земеделски стопани, извършващи дейност в секторите "Растениевъдство" за културите от приложение № 1, "Животновъдство" (говеда, биволи, овце и кози) и/или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подмярка 21.2 "Извънредно временно подпомагане за земеделските стопани COVID 2" – за земеделски стопани, извършващи дейност в сектор "Растениевъдство" за селскостопански култури, различни от тези в приложение № 1, и/или сектор "Животновъдство" (свине 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подмярка 21.3 "Извънредно временно подпомагане за малки и средни предприятия (МСП) и признати групи и организации на производители COVID 3" – за микро-, малки и средни предприятия, преработващи селскостопански продукти, включени в Приложение I към Договора за функционирането на Европейския съюз (ДФЕС), и 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Приемите по подмерки 21.1 и 21.2 са проведени в периода 19.8.2020 г. - 21.9.2020 г.(общо подмерки 21.1 и 21.2), и 17.05.2021 - 04.06.2021 (само за подмярка 21.1), а приемът по подмярка 21.3 е проведен в периода 26.10.2020 г. -  13.11.2020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м. декември 2021 г. по трите подмерки са разплатени общо 42,12 млн. евро публични средства, с които са подпомогнати над 30 хиляди земеделски производители, и МСП.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мярката е приключено, като съответно не е извършвано нито договаряне, нито разплащане през календарната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 "Извънредно временно подпомагане за земеделски стопани и МСП, които са особено засегнати от последиците от руското нашествие в Украйна" от Програмата за развитие на селските райони за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четиринадесето изменение ПРСР 2014-2020 е стартирана първата подмярка на Мярка 22 - Подмярка 22.1. „Извънредно временно подпомагане за земеделски стопани, които са особено засегнати от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се изведоха остатъчни средства от други мерки и подмерки, възлизащи на общо 23 млн. евро от ЕЗФРСР / 28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Приемът по подмярка 22.1 е проведен в периода 16.11.2022 г. - 05.12.2022 г. за кандидати земеделски стопани от сектори „Растениевъдство“ и „Животновъдство“ с общ бюджет в размер на 28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по подмярката са подпомогнати над 31 хиляди земеделски стопани, с общо изплатена сума в размер на 23.25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31.12.2022 г. (извън периода на докладване в настоящия доклад) е стартирана и втората подмярка на мярка 22, след извършени промени в петнадесетото изменение на ПРСР. Приемът по подмярка 22.2 е проведен в периода 06.03.2023 г. - 15.03.2023 г. - за кандидати земеделски стопани, преработвателни предприятия и групи и организации на производители с общ бюджет в размер на 3,5 млн. евро, както и земеделски стопани, отглеждащи ягоди или малини – оранжерийно производство и/или пчелни семейства - с общ бюджет в размер на 2,8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 анализ на резултатите от оценката на изпълнението на ПРСР 2014-2020 към 31.12.202</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Разплатените към 31.12.2022 г. общо публични средства по ПРСР 2014-2020 представляват 60,6% от целия наличен бюджет на ПРСР към този момент, или 2 297,5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Договорените средства (без отчитане на поети бъдещи и преходни задължения по мерките с многогодишен ангажимент от ПРСР) представляват 72,1 % спрямо целия бюджет на ПРСР, или 2 735,7 млн. евро публични средства. От тях, договорените средства само по предимно инвестиционните мерки и Техническа помощ са в размер на 1 681,7 млн. евро публични средства, а общо оторизираните средства по мeрките с плащане на площ (вкл. и плащанията по М21 и M22), са в размер на 1 053,9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 ноември 2021 г., с Решение C(2021) 8541 на ЕК бе одобрено най-голямото изменение в Програмата, с което към текущите 2 900 млн. евро се прибавят нови 900 млн. евро. Общият бюджет на Програма се увеличава до 3 800 млн. евро, които вече са на разположение на бенефициентите. Следвайки старите разчети, процентът разплащане, съответно договаряне към 31.12.2022 г. би бил 79,4% разплатени, при договорени 93,7% по Програмата.</w:t>
            </w:r>
          </w:p>
          <w:p>
            <w:pPr>
              <w:pStyle w:val="BodyText"/>
              <w:jc w:val="both"/>
            </w:pPr>
          </w:p>
        </w:tc>
      </w:tr>
    </w:tbl>
    <w:p>
      <w:pPr>
        <w:pStyle w:val="Heading2"/>
      </w:pPr>
      <w:bookmarkStart w:id="5" w:name="_Toc256000005"/>
      <w:r>
        <w:t>Ключова информация относно постиженията във връзка с етапните цели, определени в рамката на изпълнението въз основа на таблица Е</w:t>
      </w:r>
      <w:bookmarkEnd w:id="5"/>
    </w:p>
    <w:p>
      <w:r>
        <w:t>Този раздел се отнася само за годишния/ите доклад/и за изпълнението 2016, 2017, 2018</w:t>
      </w:r>
    </w:p>
    <w:p>
      <w:pPr>
        <w:sectPr>
          <w:pgMar w:top="900" w:right="900" w:bottom="900" w:left="900" w:header="720" w:footer="720"/>
          <w:cols w:space="720"/>
        </w:sectPr>
      </w:pPr>
    </w:p>
    <w:p>
      <w:pPr>
        <w:pStyle w:val="Heading2"/>
      </w:pPr>
      <w:bookmarkStart w:id="6" w:name="_Toc256000006"/>
      <w:r>
        <w:t>Друг конкретен елемент по ПРСР [незадължително]</w:t>
      </w:r>
      <w:bookmarkEnd w:id="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Извършени промени в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2022 г. са предложени, съответно одобрени от службите на ЕК три основни изменения в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Дванадесето изменение на Програмата за развитие на селските райони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е изпратено чрез системата за комуникация с ЕК – SFC2014 на 14 април 2022 г и отразява промени по няколко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 услуги за земеделски и горски стопани“ е дадена възможност за изготвяне на безплатни проекти за млади фермери в рамките на предвидения прием  по подмярка 6.1 „Стартова помощ за млади земеделски производители“ през есента на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 10 „Агроекология и климат“ и мярка 11 „Биологично земеделие“. По мярка 10 „Агроекология и климат“, в направление „Традиционни практики за сезонна паша (пасторализъм)“ се предвижда възможността от поемане на едногодишни ангажименти, като се поясняват и допълват правилата за допускане на животни. По направление  „Опазване на застрашени от изчезване местни породи, важни за селското стопанство“ и направление „Опазване на застрашени от изчезване местни сортове, важни за селското стопанство“ се определя продължителност на нови  ангажименти от 2022 г. със срок три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в мярка 11 „Биологично земеделие“ касае двете подмярки 11.1 „Плащания за преминаване към практики и методи за биологично земеделие“ и 11.2. „Плащания за биологично земеделие“, където се позволява да се поемат нови ангажименти с по-кратка продължителност, като за първата подмярка срокът е до 3 години, включително, а за втората –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Допълнение е направено и в мярка 12 „Плащания по „Натура 2000“ и Рамковата директива за водите“ във връзка с изменени и допълнени пред 2021 г. заповеди за обявяване на защитени зони по Директива 2009/147/ЕО на Европейския парламент и на Съвета. В нотификацията са включени само тези защитени зони за местообитанията, за които има издадени и обнародвани в Държавен вестник“ заповеди за обявяването им, в срок не по-късно от 1 януари на годината на кандидатстване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19.1. „Помощ за подготвителни дейности“ е увеличен максималният срок на дванадесет месеца за изпълнение на малки пилотни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Промени са направени и по мярка 20 „Техническа помощ“, с които се цели постигане на по-широко прилагане на дейностите от мярката като цяло и конкретно в частта на дейностите, свързани с подготовката на следващия програмен период.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Дванадесето изменение на ПРСР 2014-2020 е одобрено на 21.06.2022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Тринадесето изменение на Програмата за развитие на селските райони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е изпратено чрез системата за комуникация с ЕК – SFC2014 на 21 юли 2022 г. и отразява: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в националната дефиниция за „селските райони“, като уеднаквява прилагането на мерките по ПРСР 2014-2020 г. в унисон с Програмата за развитие на регионите и поставяне на ясно разграничение на двете програми. Въвежда пояснения, че всички дейности за малка по мащаби инфраструктура през периода 2021-2022 г. ще са допустими само на територията на селските райони, съгласно новата национална дефиниция.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със създалата се икономическа ситуация, довела до значително увеличение на цените за енергия, УО предлага въвеждане на нов принцип при определяне на критериите за подбор, чрез който ще се поощри производството на енергия за собствени нужди. Очаква се предложеният нов принцип при определяне на критериите за подбор: „Проекти, насочени към производство на енергия за собствено потребление от възобновяеми енергийни източници“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да намали енергийната зависимост на селските общини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предлага за инвестиции в пътната и уличната мрежа, в принципа „Изграждане и/или реконструкция на инфраструктура, която осигурява директна свързаност на населено място с по-висок клас републикански пътища“ да не се ограничава свързаността само с републикански пътища, а като условие да бъде заложено осигуряване на свързаност с път от по-висок клас.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Допълване на текстовете в глава 8.1 "Общи условия", в като се дава възможност по инвестиционните мерки от Програмата, за които е приложимо, да бъде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Тринадесетото изменение на ПРСР 2014-2020 е одобрено на 26.08.2022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Четиринадесето изменение на Програмата за развитие на селските райони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е изпратено чрез системата за комуникация с ЕК – SFC2014 на 18 ноември 2022 г. и отразява: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в ПРСР 2014-2020 г. на подмярка 22.1 „Извънредно временно подпомагане за земеделските стопани, засегнати от последиците от руското нашествие в Украйна“.  Подпомагането е под формата на еднократно платима сума, изплатена до 15.10.2023 г., въз основа на заявления за подпомагане, одобрени от съответния компетентен орган до 31.03.2023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възможно, чрез осигуряване на ресурс от прехвърляне на средства между фокус области в размер на 23,8 млн. евро. Прехвърлянето осигурява общо 28,00 млн. евро публични средства, които са предвидените за стартиране на прием по Подмярка 22.1 „Извънредно временно подпомагане за земеделските стопани, засегнати от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резултат, разполагаемите средства от ЕЗФРСР остават без промяна, а именно 3 129,05 млн. евро общо за ПРСР 2014-2020, а публичната помощ намалява с 2,31 млн. евро - от 3 795,43 до 3 793,12 млн. евро публични средства.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Приемът по подмярка 22.1 е проведен в периода 16.11.2022 г. - 05.12.2022 г. за кандидати земеделски стопани от сектори „Растениевъдство“ и „Животновъдство“. Към края на календарната 2022 г. по подмярката са подпомогнати над 31 хиляди земеделски стопани, с общо изплатена сума в размер на 23 259 796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Четиринадесето изменение на ПРСР 2014-2020 е одобрено на 19.12.2022 г.</w:t>
            </w:r>
          </w:p>
          <w:p>
            <w:pPr>
              <w:pStyle w:val="BodyText"/>
              <w:jc w:val="both"/>
            </w:pPr>
          </w:p>
        </w:tc>
      </w:tr>
    </w:tbl>
    <w:p/>
    <w:p w:rsidR="000C0F34" w:rsidP="000C0F34"/>
    <w:p w:rsidR="000C0F34" w:rsidP="000C0F34">
      <w:pPr>
        <w:pStyle w:val="Heading2"/>
        <w:tabs>
          <w:tab w:val="clear" w:pos="0"/>
          <w:tab w:val="num" w:pos="708"/>
        </w:tabs>
        <w:ind w:left="708" w:hanging="850"/>
      </w:pPr>
      <w:bookmarkStart w:id="7" w:name="_Toc256000007"/>
      <w:r>
        <w:rPr>
          <w:noProof/>
        </w:rPr>
        <w:t>По целесъобразност, приноса към макрорегионалните стратегии и стратегиите за морските басейни</w:t>
      </w:r>
      <w:bookmarkEnd w:id="7"/>
    </w:p>
    <w:p w:rsidR="000C0F34" w:rsidP="000C0F34">
      <w:pPr>
        <w:pStyle w:val="Text1"/>
        <w:ind w:left="0"/>
      </w:pPr>
    </w:p>
    <w:p w:rsidR="000C0F34" w:rsidP="000C0F34">
      <w:pPr>
        <w:pStyle w:val="Text1"/>
        <w:ind w:left="0"/>
      </w:pPr>
      <w:r>
        <w:t>К</w:t>
      </w:r>
      <w:r>
        <w:t>а</w:t>
      </w:r>
      <w:r>
        <w:t>к</w:t>
      </w:r>
      <w:r>
        <w:t>т</w:t>
      </w:r>
      <w:r>
        <w:t>о</w:t>
      </w:r>
      <w:r>
        <w:t xml:space="preserve"> </w:t>
      </w:r>
      <w:r>
        <w:t>е</w:t>
      </w:r>
      <w:r>
        <w:t xml:space="preserve"> </w:t>
      </w:r>
      <w:r>
        <w:t>п</w:t>
      </w:r>
      <w:r>
        <w:t>о</w:t>
      </w:r>
      <w:r>
        <w:t>с</w:t>
      </w:r>
      <w:r>
        <w:t>о</w:t>
      </w:r>
      <w:r>
        <w:t>ч</w:t>
      </w:r>
      <w:r>
        <w:t>е</w:t>
      </w:r>
      <w:r>
        <w:t>н</w:t>
      </w:r>
      <w:r>
        <w:t>о</w:t>
      </w:r>
      <w:r>
        <w:t xml:space="preserve"> </w:t>
      </w:r>
      <w:r>
        <w:t>в</w:t>
      </w:r>
      <w:r>
        <w:t xml:space="preserve"> </w:t>
      </w:r>
      <w:r>
        <w:t>Р</w:t>
      </w:r>
      <w:r>
        <w:t>е</w:t>
      </w:r>
      <w:r>
        <w:t>г</w:t>
      </w:r>
      <w:r>
        <w:t>л</w:t>
      </w:r>
      <w:r>
        <w:t>а</w:t>
      </w:r>
      <w:r>
        <w:t>м</w:t>
      </w:r>
      <w:r>
        <w:t>е</w:t>
      </w:r>
      <w:r>
        <w:t>н</w:t>
      </w:r>
      <w:r>
        <w:t>т</w:t>
      </w:r>
      <w:r>
        <w:t xml:space="preserve"> </w:t>
      </w:r>
      <w:r>
        <w:t>(</w:t>
      </w:r>
      <w:r>
        <w:t>Е</w:t>
      </w:r>
      <w:r>
        <w:t>С</w:t>
      </w:r>
      <w:r>
        <w:t>)</w:t>
      </w:r>
      <w:r>
        <w:t xml:space="preserve"> </w:t>
      </w:r>
      <w:r>
        <w:t>№</w:t>
      </w:r>
      <w:r>
        <w:t> </w:t>
      </w:r>
      <w:r>
        <w:t>1</w:t>
      </w:r>
      <w:r>
        <w:t>3</w:t>
      </w:r>
      <w:r>
        <w:t>0</w:t>
      </w:r>
      <w:r>
        <w:t>3</w:t>
      </w:r>
      <w:r>
        <w:t>/</w:t>
      </w:r>
      <w:r>
        <w:t>2</w:t>
      </w:r>
      <w:r>
        <w:t>0</w:t>
      </w:r>
      <w:r>
        <w:t>1</w:t>
      </w:r>
      <w:r>
        <w:t>3</w:t>
      </w:r>
      <w:r>
        <w:t>,</w:t>
      </w:r>
      <w:r>
        <w:t xml:space="preserve"> </w:t>
      </w:r>
      <w:r>
        <w:t>ч</w:t>
      </w:r>
      <w:r>
        <w:t>л</w:t>
      </w:r>
      <w:r>
        <w:t>е</w:t>
      </w:r>
      <w:r>
        <w:t>н</w:t>
      </w:r>
      <w:r>
        <w:t> </w:t>
      </w:r>
      <w:r>
        <w:t>2</w:t>
      </w:r>
      <w:r>
        <w:t>7</w:t>
      </w:r>
      <w:r>
        <w:t>,</w:t>
      </w:r>
      <w:r>
        <w:t xml:space="preserve"> </w:t>
      </w:r>
      <w:r>
        <w:t>п</w:t>
      </w:r>
      <w:r>
        <w:t>а</w:t>
      </w:r>
      <w:r>
        <w:t>р</w:t>
      </w:r>
      <w:r>
        <w:t>а</w:t>
      </w:r>
      <w:r>
        <w:t>г</w:t>
      </w:r>
      <w:r>
        <w:t>р</w:t>
      </w:r>
      <w:r>
        <w:t>а</w:t>
      </w:r>
      <w:r>
        <w:t>ф</w:t>
      </w:r>
      <w:r>
        <w:t> </w:t>
      </w:r>
      <w:r>
        <w:t>3</w:t>
      </w:r>
      <w:r>
        <w:t xml:space="preserve"> </w:t>
      </w:r>
      <w:r>
        <w:t>о</w:t>
      </w:r>
      <w:r>
        <w:t>т</w:t>
      </w:r>
      <w:r>
        <w:t>н</w:t>
      </w:r>
      <w:r>
        <w:t>о</w:t>
      </w:r>
      <w:r>
        <w:t>с</w:t>
      </w:r>
      <w:r>
        <w:t>н</w:t>
      </w:r>
      <w:r>
        <w:t>о</w:t>
      </w:r>
      <w:r>
        <w:t xml:space="preserve"> </w:t>
      </w:r>
      <w:r>
        <w:fldChar w:fldCharType="begin"/>
      </w:r>
      <w:r>
        <w:instrText xml:space="preserve">QUOTE </w:instrText>
      </w:r>
      <w:r>
        <w:instrText>34</w:instrText>
      </w:r>
      <w:r>
        <w:fldChar w:fldCharType="separate"/>
      </w:r>
      <w:r>
        <w:t>"</w:t>
      </w:r>
      <w:r>
        <w:fldChar w:fldCharType="end"/>
      </w:r>
      <w:r>
        <w:t>с</w:t>
      </w:r>
      <w:r>
        <w:t>ъ</w:t>
      </w:r>
      <w:r>
        <w:t>д</w:t>
      </w:r>
      <w:r>
        <w:t>ъ</w:t>
      </w:r>
      <w:r>
        <w:t>р</w:t>
      </w:r>
      <w:r>
        <w:t>ж</w:t>
      </w:r>
      <w:r>
        <w:t>а</w:t>
      </w:r>
      <w:r>
        <w:t>н</w:t>
      </w:r>
      <w:r>
        <w:t>и</w:t>
      </w:r>
      <w:r>
        <w:t>е</w:t>
      </w:r>
      <w:r>
        <w:t>т</w:t>
      </w:r>
      <w:r>
        <w:t>о</w:t>
      </w:r>
      <w:r>
        <w:t xml:space="preserve"> </w:t>
      </w:r>
      <w:r>
        <w:t>н</w:t>
      </w:r>
      <w:r>
        <w:t>а</w:t>
      </w:r>
      <w:r>
        <w:t xml:space="preserve"> </w:t>
      </w:r>
      <w:r>
        <w:t>п</w:t>
      </w:r>
      <w:r>
        <w:t>р</w:t>
      </w:r>
      <w:r>
        <w:t>о</w:t>
      </w:r>
      <w:r>
        <w:t>г</w:t>
      </w:r>
      <w:r>
        <w:t>р</w:t>
      </w:r>
      <w:r>
        <w:t>а</w:t>
      </w:r>
      <w:r>
        <w:t>м</w:t>
      </w:r>
      <w:r>
        <w:t>и</w:t>
      </w:r>
      <w:r>
        <w:t>т</w:t>
      </w:r>
      <w:r>
        <w:t>е</w:t>
      </w:r>
      <w:r>
        <w:fldChar w:fldCharType="begin"/>
      </w:r>
      <w:r>
        <w:instrText xml:space="preserve">QUOTE </w:instrText>
      </w:r>
      <w:r>
        <w:instrText>34</w:instrText>
      </w:r>
      <w:r>
        <w:fldChar w:fldCharType="separate"/>
      </w:r>
      <w:r>
        <w:t>"</w:t>
      </w:r>
      <w:r>
        <w:fldChar w:fldCharType="end"/>
      </w:r>
      <w:r>
        <w:t>,</w:t>
      </w:r>
      <w:r>
        <w:t xml:space="preserve"> </w:t>
      </w:r>
      <w:r>
        <w:t>ч</w:t>
      </w:r>
      <w:r>
        <w:t>л</w:t>
      </w:r>
      <w:r>
        <w:t>е</w:t>
      </w:r>
      <w:r>
        <w:t>н</w:t>
      </w:r>
      <w:r>
        <w:t> </w:t>
      </w:r>
      <w:r>
        <w:t>9</w:t>
      </w:r>
      <w:r>
        <w:t>6</w:t>
      </w:r>
      <w:r>
        <w:t>,</w:t>
      </w:r>
      <w:r>
        <w:t xml:space="preserve"> </w:t>
      </w:r>
      <w:r>
        <w:t>п</w:t>
      </w:r>
      <w:r>
        <w:t>а</w:t>
      </w:r>
      <w:r>
        <w:t>р</w:t>
      </w:r>
      <w:r>
        <w:t>а</w:t>
      </w:r>
      <w:r>
        <w:t>г</w:t>
      </w:r>
      <w:r>
        <w:t>р</w:t>
      </w:r>
      <w:r>
        <w:t>а</w:t>
      </w:r>
      <w:r>
        <w:t>ф</w:t>
      </w:r>
      <w:r>
        <w:t> </w:t>
      </w:r>
      <w:r>
        <w:t>3</w:t>
      </w:r>
      <w:r>
        <w:t>,</w:t>
      </w:r>
      <w:r>
        <w:t xml:space="preserve"> </w:t>
      </w:r>
      <w:r>
        <w:t>б</w:t>
      </w:r>
      <w:r>
        <w:t>у</w:t>
      </w:r>
      <w:r>
        <w:t>к</w:t>
      </w:r>
      <w:r>
        <w:t>в</w:t>
      </w:r>
      <w:r>
        <w:t>а</w:t>
      </w:r>
      <w:r>
        <w:t> </w:t>
      </w:r>
      <w:r>
        <w:t>д</w:t>
      </w:r>
      <w:r>
        <w:t>)</w:t>
      </w:r>
      <w:r>
        <w:t xml:space="preserve"> </w:t>
      </w:r>
      <w:r>
        <w:t>о</w:t>
      </w:r>
      <w:r>
        <w:t>т</w:t>
      </w:r>
      <w:r>
        <w:t>н</w:t>
      </w:r>
      <w:r>
        <w:t>о</w:t>
      </w:r>
      <w:r>
        <w:t>с</w:t>
      </w:r>
      <w:r>
        <w:t>н</w:t>
      </w:r>
      <w:r>
        <w:t>о</w:t>
      </w:r>
      <w:r>
        <w:t xml:space="preserve"> </w:t>
      </w:r>
      <w:r>
        <w:fldChar w:fldCharType="begin"/>
      </w:r>
      <w:r>
        <w:instrText xml:space="preserve">QUOTE </w:instrText>
      </w:r>
      <w:r>
        <w:instrText>34</w:instrText>
      </w:r>
      <w:r>
        <w:fldChar w:fldCharType="separate"/>
      </w:r>
      <w:r>
        <w:t>"</w:t>
      </w:r>
      <w:r>
        <w:fldChar w:fldCharType="end"/>
      </w:r>
      <w:r>
        <w:t>с</w:t>
      </w:r>
      <w:r>
        <w:t>ъ</w:t>
      </w:r>
      <w:r>
        <w:t>д</w:t>
      </w:r>
      <w:r>
        <w:t>ъ</w:t>
      </w:r>
      <w:r>
        <w:t>р</w:t>
      </w:r>
      <w:r>
        <w:t>ж</w:t>
      </w:r>
      <w:r>
        <w:t>а</w:t>
      </w:r>
      <w:r>
        <w:t>н</w:t>
      </w:r>
      <w:r>
        <w:t>и</w:t>
      </w:r>
      <w:r>
        <w:t>е</w:t>
      </w:r>
      <w:r>
        <w:t>т</w:t>
      </w:r>
      <w:r>
        <w:t>о</w:t>
      </w:r>
      <w:r>
        <w:t>,</w:t>
      </w:r>
      <w:r>
        <w:t xml:space="preserve"> </w:t>
      </w:r>
      <w:r>
        <w:t>п</w:t>
      </w:r>
      <w:r>
        <w:t>р</w:t>
      </w:r>
      <w:r>
        <w:t>и</w:t>
      </w:r>
      <w:r>
        <w:t>е</w:t>
      </w:r>
      <w:r>
        <w:t>м</w:t>
      </w:r>
      <w:r>
        <w:t>а</w:t>
      </w:r>
      <w:r>
        <w:t>н</w:t>
      </w:r>
      <w:r>
        <w:t>е</w:t>
      </w:r>
      <w:r>
        <w:t>т</w:t>
      </w:r>
      <w:r>
        <w:t>о</w:t>
      </w:r>
      <w:r>
        <w:t xml:space="preserve"> </w:t>
      </w:r>
      <w:r>
        <w:t>и</w:t>
      </w:r>
      <w:r>
        <w:t xml:space="preserve"> </w:t>
      </w:r>
      <w:r>
        <w:t>и</w:t>
      </w:r>
      <w:r>
        <w:t>з</w:t>
      </w:r>
      <w:r>
        <w:t>м</w:t>
      </w:r>
      <w:r>
        <w:t>е</w:t>
      </w:r>
      <w:r>
        <w:t>н</w:t>
      </w:r>
      <w:r>
        <w:t>е</w:t>
      </w:r>
      <w:r>
        <w:t>н</w:t>
      </w:r>
      <w:r>
        <w:t>и</w:t>
      </w:r>
      <w:r>
        <w:t>е</w:t>
      </w:r>
      <w:r>
        <w:t>т</w:t>
      </w:r>
      <w:r>
        <w:t>о</w:t>
      </w:r>
      <w:r>
        <w:t xml:space="preserve"> </w:t>
      </w:r>
      <w:r>
        <w:t>н</w:t>
      </w:r>
      <w:r>
        <w:t>а</w:t>
      </w:r>
      <w:r>
        <w:t xml:space="preserve"> </w:t>
      </w:r>
      <w:r>
        <w:t>о</w:t>
      </w:r>
      <w:r>
        <w:t>п</w:t>
      </w:r>
      <w:r>
        <w:t>е</w:t>
      </w:r>
      <w:r>
        <w:t>р</w:t>
      </w:r>
      <w:r>
        <w:t>а</w:t>
      </w:r>
      <w:r>
        <w:t>т</w:t>
      </w:r>
      <w:r>
        <w:t>и</w:t>
      </w:r>
      <w:r>
        <w:t>в</w:t>
      </w:r>
      <w:r>
        <w:t>н</w:t>
      </w:r>
      <w:r>
        <w:t>и</w:t>
      </w:r>
      <w:r>
        <w:t>т</w:t>
      </w:r>
      <w:r>
        <w:t>е</w:t>
      </w:r>
      <w:r>
        <w:t xml:space="preserve"> </w:t>
      </w:r>
      <w:r>
        <w:t>п</w:t>
      </w:r>
      <w:r>
        <w:t>р</w:t>
      </w:r>
      <w:r>
        <w:t>о</w:t>
      </w:r>
      <w:r>
        <w:t>г</w:t>
      </w:r>
      <w:r>
        <w:t>р</w:t>
      </w:r>
      <w:r>
        <w:t>а</w:t>
      </w:r>
      <w:r>
        <w:t>м</w:t>
      </w:r>
      <w:r>
        <w:t>и</w:t>
      </w:r>
      <w:r>
        <w:t xml:space="preserve"> </w:t>
      </w:r>
      <w:r>
        <w:t>п</w:t>
      </w:r>
      <w:r>
        <w:t>о</w:t>
      </w:r>
      <w:r>
        <w:t xml:space="preserve"> </w:t>
      </w:r>
      <w:r>
        <w:t>ц</w:t>
      </w:r>
      <w:r>
        <w:t>е</w:t>
      </w:r>
      <w:r>
        <w:t>л</w:t>
      </w:r>
      <w:r>
        <w:t xml:space="preserve"> </w:t>
      </w:r>
      <w:r>
        <w:fldChar w:fldCharType="begin"/>
      </w:r>
      <w:r>
        <w:instrText xml:space="preserve">QUOTE </w:instrText>
      </w:r>
      <w:r>
        <w:instrText>34</w:instrText>
      </w:r>
      <w:r>
        <w:fldChar w:fldCharType="separate"/>
      </w:r>
      <w:r>
        <w:t>"</w:t>
      </w:r>
      <w:r>
        <w:fldChar w:fldCharType="end"/>
      </w:r>
      <w:r>
        <w:t>И</w:t>
      </w:r>
      <w:r>
        <w:t>н</w:t>
      </w:r>
      <w:r>
        <w:t>в</w:t>
      </w:r>
      <w:r>
        <w:t>е</w:t>
      </w:r>
      <w:r>
        <w:t>с</w:t>
      </w:r>
      <w:r>
        <w:t>т</w:t>
      </w:r>
      <w:r>
        <w:t>и</w:t>
      </w:r>
      <w:r>
        <w:t>ц</w:t>
      </w:r>
      <w:r>
        <w:t>и</w:t>
      </w:r>
      <w:r>
        <w:t>и</w:t>
      </w:r>
      <w:r>
        <w:t xml:space="preserve"> </w:t>
      </w:r>
      <w:r>
        <w:t>з</w:t>
      </w:r>
      <w:r>
        <w:t>а</w:t>
      </w:r>
      <w:r>
        <w:t xml:space="preserve"> </w:t>
      </w:r>
      <w:r>
        <w:t>р</w:t>
      </w:r>
      <w:r>
        <w:t>а</w:t>
      </w:r>
      <w:r>
        <w:t>с</w:t>
      </w:r>
      <w:r>
        <w:t>т</w:t>
      </w:r>
      <w:r>
        <w:t>е</w:t>
      </w:r>
      <w:r>
        <w:t>ж</w:t>
      </w:r>
      <w:r>
        <w:t xml:space="preserve"> </w:t>
      </w:r>
      <w:r>
        <w:t>и</w:t>
      </w:r>
      <w:r>
        <w:t xml:space="preserve"> </w:t>
      </w:r>
      <w:r>
        <w:t>р</w:t>
      </w:r>
      <w:r>
        <w:t>а</w:t>
      </w:r>
      <w:r>
        <w:t>б</w:t>
      </w:r>
      <w:r>
        <w:t>о</w:t>
      </w:r>
      <w:r>
        <w:t>т</w:t>
      </w:r>
      <w:r>
        <w:t>н</w:t>
      </w:r>
      <w:r>
        <w:t>и</w:t>
      </w:r>
      <w:r>
        <w:t xml:space="preserve"> </w:t>
      </w:r>
      <w:r>
        <w:t>м</w:t>
      </w:r>
      <w:r>
        <w:t>е</w:t>
      </w:r>
      <w:r>
        <w:t>с</w:t>
      </w:r>
      <w:r>
        <w:t>т</w:t>
      </w:r>
      <w:r>
        <w:t>а</w:t>
      </w:r>
      <w:r>
        <w:fldChar w:fldCharType="begin"/>
      </w:r>
      <w:r>
        <w:instrText xml:space="preserve">QUOTE </w:instrText>
      </w:r>
      <w:r>
        <w:instrText>34</w:instrText>
      </w:r>
      <w:r>
        <w:fldChar w:fldCharType="separate"/>
      </w:r>
      <w:r>
        <w:t>"</w:t>
      </w:r>
      <w:r>
        <w:fldChar w:fldCharType="end"/>
      </w:r>
      <w:r>
        <w:t>,</w:t>
      </w:r>
      <w:r>
        <w:t xml:space="preserve"> </w:t>
      </w:r>
      <w:r>
        <w:t>ч</w:t>
      </w:r>
      <w:r>
        <w:t>л</w:t>
      </w:r>
      <w:r>
        <w:t>е</w:t>
      </w:r>
      <w:r>
        <w:t>н</w:t>
      </w:r>
      <w:r>
        <w:t> </w:t>
      </w:r>
      <w:r>
        <w:t>1</w:t>
      </w:r>
      <w:r>
        <w:t>1</w:t>
      </w:r>
      <w:r>
        <w:t>1</w:t>
      </w:r>
      <w:r>
        <w:t>,</w:t>
      </w:r>
      <w:r>
        <w:t xml:space="preserve"> </w:t>
      </w:r>
      <w:r>
        <w:t>п</w:t>
      </w:r>
      <w:r>
        <w:t>а</w:t>
      </w:r>
      <w:r>
        <w:t>р</w:t>
      </w:r>
      <w:r>
        <w:t>а</w:t>
      </w:r>
      <w:r>
        <w:t>г</w:t>
      </w:r>
      <w:r>
        <w:t>р</w:t>
      </w:r>
      <w:r>
        <w:t>а</w:t>
      </w:r>
      <w:r>
        <w:t>ф</w:t>
      </w:r>
      <w:r>
        <w:t> </w:t>
      </w:r>
      <w:r>
        <w:t>3</w:t>
      </w:r>
      <w:r>
        <w:t>,</w:t>
      </w:r>
      <w:r>
        <w:t xml:space="preserve"> </w:t>
      </w:r>
      <w:r>
        <w:t>ч</w:t>
      </w:r>
      <w:r>
        <w:t>л</w:t>
      </w:r>
      <w:r>
        <w:t>е</w:t>
      </w:r>
      <w:r>
        <w:t>н</w:t>
      </w:r>
      <w:r>
        <w:t> </w:t>
      </w:r>
      <w:r>
        <w:t>1</w:t>
      </w:r>
      <w:r>
        <w:t>1</w:t>
      </w:r>
      <w:r>
        <w:t>1</w:t>
      </w:r>
      <w:r>
        <w:t>,</w:t>
      </w:r>
      <w:r>
        <w:t xml:space="preserve"> </w:t>
      </w:r>
      <w:r>
        <w:t>п</w:t>
      </w:r>
      <w:r>
        <w:t>а</w:t>
      </w:r>
      <w:r>
        <w:t>р</w:t>
      </w:r>
      <w:r>
        <w:t>а</w:t>
      </w:r>
      <w:r>
        <w:t>г</w:t>
      </w:r>
      <w:r>
        <w:t>р</w:t>
      </w:r>
      <w:r>
        <w:t>а</w:t>
      </w:r>
      <w:r>
        <w:t>ф</w:t>
      </w:r>
      <w:r>
        <w:t> </w:t>
      </w:r>
      <w:r>
        <w:t>4</w:t>
      </w:r>
      <w:r>
        <w:t>,</w:t>
      </w:r>
      <w:r>
        <w:t xml:space="preserve"> </w:t>
      </w:r>
      <w:r>
        <w:t>б</w:t>
      </w:r>
      <w:r>
        <w:t>у</w:t>
      </w:r>
      <w:r>
        <w:t>к</w:t>
      </w:r>
      <w:r>
        <w:t>в</w:t>
      </w:r>
      <w:r>
        <w:t>а</w:t>
      </w:r>
      <w:r>
        <w:t> </w:t>
      </w:r>
      <w:r>
        <w:t>г</w:t>
      </w:r>
      <w:r>
        <w:t>)</w:t>
      </w:r>
      <w:r>
        <w:t xml:space="preserve"> </w:t>
      </w:r>
      <w:r>
        <w:t>о</w:t>
      </w:r>
      <w:r>
        <w:t>т</w:t>
      </w:r>
      <w:r>
        <w:t>н</w:t>
      </w:r>
      <w:r>
        <w:t>о</w:t>
      </w:r>
      <w:r>
        <w:t>с</w:t>
      </w:r>
      <w:r>
        <w:t>н</w:t>
      </w:r>
      <w:r>
        <w:t>о</w:t>
      </w:r>
      <w:r>
        <w:t xml:space="preserve"> </w:t>
      </w:r>
      <w:r>
        <w:fldChar w:fldCharType="begin"/>
      </w:r>
      <w:r>
        <w:instrText xml:space="preserve">QUOTE </w:instrText>
      </w:r>
      <w:r>
        <w:instrText>34</w:instrText>
      </w:r>
      <w:r>
        <w:fldChar w:fldCharType="separate"/>
      </w:r>
      <w:r>
        <w:t>"</w:t>
      </w:r>
      <w:r>
        <w:fldChar w:fldCharType="end"/>
      </w:r>
      <w:r>
        <w:t>д</w:t>
      </w:r>
      <w:r>
        <w:t>о</w:t>
      </w:r>
      <w:r>
        <w:t>к</w:t>
      </w:r>
      <w:r>
        <w:t>л</w:t>
      </w:r>
      <w:r>
        <w:t>а</w:t>
      </w:r>
      <w:r>
        <w:t>д</w:t>
      </w:r>
      <w:r>
        <w:t>и</w:t>
      </w:r>
      <w:r>
        <w:t>т</w:t>
      </w:r>
      <w:r>
        <w:t>е</w:t>
      </w:r>
      <w:r>
        <w:t xml:space="preserve"> </w:t>
      </w:r>
      <w:r>
        <w:t>з</w:t>
      </w:r>
      <w:r>
        <w:t>а</w:t>
      </w:r>
      <w:r>
        <w:t xml:space="preserve"> </w:t>
      </w:r>
      <w:r>
        <w:t>и</w:t>
      </w:r>
      <w:r>
        <w:t>з</w:t>
      </w:r>
      <w:r>
        <w:t>п</w:t>
      </w:r>
      <w:r>
        <w:t>ъ</w:t>
      </w:r>
      <w:r>
        <w:t>л</w:t>
      </w:r>
      <w:r>
        <w:t>н</w:t>
      </w:r>
      <w:r>
        <w:t>е</w:t>
      </w:r>
      <w:r>
        <w:t>н</w:t>
      </w:r>
      <w:r>
        <w:t>и</w:t>
      </w:r>
      <w:r>
        <w:t>е</w:t>
      </w:r>
      <w:r>
        <w:t xml:space="preserve"> </w:t>
      </w:r>
      <w:r>
        <w:t>п</w:t>
      </w:r>
      <w:r>
        <w:t>о</w:t>
      </w:r>
      <w:r>
        <w:t xml:space="preserve"> </w:t>
      </w:r>
      <w:r>
        <w:t>ц</w:t>
      </w:r>
      <w:r>
        <w:t>е</w:t>
      </w:r>
      <w:r>
        <w:t>л</w:t>
      </w:r>
      <w:r>
        <w:t>т</w:t>
      </w:r>
      <w:r>
        <w:t>а</w:t>
      </w:r>
      <w:r>
        <w:t xml:space="preserve"> </w:t>
      </w:r>
      <w:r>
        <w:fldChar w:fldCharType="begin"/>
      </w:r>
      <w:r>
        <w:instrText xml:space="preserve">QUOTE </w:instrText>
      </w:r>
      <w:r>
        <w:instrText>34</w:instrText>
      </w:r>
      <w:r>
        <w:fldChar w:fldCharType="separate"/>
      </w:r>
      <w:r>
        <w:t>"</w:t>
      </w:r>
      <w:r>
        <w:fldChar w:fldCharType="end"/>
      </w:r>
      <w:r>
        <w:t>И</w:t>
      </w:r>
      <w:r>
        <w:t>н</w:t>
      </w:r>
      <w:r>
        <w:t>в</w:t>
      </w:r>
      <w:r>
        <w:t>е</w:t>
      </w:r>
      <w:r>
        <w:t>с</w:t>
      </w:r>
      <w:r>
        <w:t>т</w:t>
      </w:r>
      <w:r>
        <w:t>и</w:t>
      </w:r>
      <w:r>
        <w:t>ц</w:t>
      </w:r>
      <w:r>
        <w:t>и</w:t>
      </w:r>
      <w:r>
        <w:t>и</w:t>
      </w:r>
      <w:r>
        <w:t xml:space="preserve"> </w:t>
      </w:r>
      <w:r>
        <w:t>з</w:t>
      </w:r>
      <w:r>
        <w:t>а</w:t>
      </w:r>
      <w:r>
        <w:t xml:space="preserve"> </w:t>
      </w:r>
      <w:r>
        <w:t>р</w:t>
      </w:r>
      <w:r>
        <w:t>а</w:t>
      </w:r>
      <w:r>
        <w:t>с</w:t>
      </w:r>
      <w:r>
        <w:t>т</w:t>
      </w:r>
      <w:r>
        <w:t>е</w:t>
      </w:r>
      <w:r>
        <w:t>ж</w:t>
      </w:r>
      <w:r>
        <w:t xml:space="preserve"> </w:t>
      </w:r>
      <w:r>
        <w:t>и</w:t>
      </w:r>
      <w:r>
        <w:t xml:space="preserve"> </w:t>
      </w:r>
      <w:r>
        <w:t>р</w:t>
      </w:r>
      <w:r>
        <w:t>а</w:t>
      </w:r>
      <w:r>
        <w:t>б</w:t>
      </w:r>
      <w:r>
        <w:t>о</w:t>
      </w:r>
      <w:r>
        <w:t>т</w:t>
      </w:r>
      <w:r>
        <w:t>н</w:t>
      </w:r>
      <w:r>
        <w:t>и</w:t>
      </w:r>
      <w:r>
        <w:t xml:space="preserve"> </w:t>
      </w:r>
      <w:r>
        <w:t>м</w:t>
      </w:r>
      <w:r>
        <w:t>е</w:t>
      </w:r>
      <w:r>
        <w:t>с</w:t>
      </w:r>
      <w:r>
        <w:t>т</w:t>
      </w:r>
      <w:r>
        <w:t>а</w:t>
      </w:r>
      <w:r>
        <w:fldChar w:fldCharType="begin"/>
      </w:r>
      <w:r>
        <w:instrText xml:space="preserve">QUOTE </w:instrText>
      </w:r>
      <w:r>
        <w:instrText>34</w:instrText>
      </w:r>
      <w:r>
        <w:fldChar w:fldCharType="separate"/>
      </w:r>
      <w:r>
        <w:t>"</w:t>
      </w:r>
      <w:r>
        <w:fldChar w:fldCharType="end"/>
      </w:r>
      <w:r>
        <w:t xml:space="preserve"> </w:t>
      </w:r>
      <w:r>
        <w:t>и</w:t>
      </w:r>
      <w:r>
        <w:t xml:space="preserve"> </w:t>
      </w:r>
      <w:r>
        <w:t>п</w:t>
      </w:r>
      <w:r>
        <w:t>р</w:t>
      </w:r>
      <w:r>
        <w:t>и</w:t>
      </w:r>
      <w:r>
        <w:t>л</w:t>
      </w:r>
      <w:r>
        <w:t>о</w:t>
      </w:r>
      <w:r>
        <w:t>ж</w:t>
      </w:r>
      <w:r>
        <w:t>е</w:t>
      </w:r>
      <w:r>
        <w:t>н</w:t>
      </w:r>
      <w:r>
        <w:t>и</w:t>
      </w:r>
      <w:r>
        <w:t>е</w:t>
      </w:r>
      <w:r>
        <w:t> </w:t>
      </w:r>
      <w:r>
        <w:t>1</w:t>
      </w:r>
      <w:r>
        <w:t>,</w:t>
      </w:r>
      <w:r>
        <w:t xml:space="preserve"> </w:t>
      </w:r>
      <w:r>
        <w:t>р</w:t>
      </w:r>
      <w:r>
        <w:t>а</w:t>
      </w:r>
      <w:r>
        <w:t>з</w:t>
      </w:r>
      <w:r>
        <w:t>д</w:t>
      </w:r>
      <w:r>
        <w:t>е</w:t>
      </w:r>
      <w:r>
        <w:t>л</w:t>
      </w:r>
      <w:r>
        <w:t> </w:t>
      </w:r>
      <w:r>
        <w:t>7</w:t>
      </w:r>
      <w:r>
        <w:t>.</w:t>
      </w:r>
      <w:r>
        <w:t>3</w:t>
      </w:r>
      <w:r>
        <w:t xml:space="preserve"> </w:t>
      </w:r>
      <w:r>
        <w:t>о</w:t>
      </w:r>
      <w:r>
        <w:t>т</w:t>
      </w:r>
      <w:r>
        <w:t>н</w:t>
      </w:r>
      <w:r>
        <w:t>о</w:t>
      </w:r>
      <w:r>
        <w:t>с</w:t>
      </w:r>
      <w:r>
        <w:t>н</w:t>
      </w:r>
      <w:r>
        <w:t>о</w:t>
      </w:r>
      <w:r>
        <w:t xml:space="preserve"> </w:t>
      </w:r>
      <w:r>
        <w:fldChar w:fldCharType="begin"/>
      </w:r>
      <w:r>
        <w:instrText xml:space="preserve">QUOTE </w:instrText>
      </w:r>
      <w:r>
        <w:instrText>34</w:instrText>
      </w:r>
      <w:r>
        <w:fldChar w:fldCharType="separate"/>
      </w:r>
      <w:r>
        <w:t>"</w:t>
      </w:r>
      <w:r>
        <w:fldChar w:fldCharType="end"/>
      </w:r>
      <w:r>
        <w:t>п</w:t>
      </w:r>
      <w:r>
        <w:t>р</w:t>
      </w:r>
      <w:r>
        <w:t>и</w:t>
      </w:r>
      <w:r>
        <w:t>н</w:t>
      </w:r>
      <w:r>
        <w:t>о</w:t>
      </w:r>
      <w:r>
        <w:t>с</w:t>
      </w:r>
      <w:r>
        <w:t>а</w:t>
      </w:r>
      <w:r>
        <w:t xml:space="preserve"> </w:t>
      </w:r>
      <w:r>
        <w:t>н</w:t>
      </w:r>
      <w:r>
        <w:t>а</w:t>
      </w:r>
      <w:r>
        <w:t xml:space="preserve"> </w:t>
      </w:r>
      <w:r>
        <w:t>о</w:t>
      </w:r>
      <w:r>
        <w:t>с</w:t>
      </w:r>
      <w:r>
        <w:t>н</w:t>
      </w:r>
      <w:r>
        <w:t>о</w:t>
      </w:r>
      <w:r>
        <w:t>в</w:t>
      </w:r>
      <w:r>
        <w:t>н</w:t>
      </w:r>
      <w:r>
        <w:t>и</w:t>
      </w:r>
      <w:r>
        <w:t>т</w:t>
      </w:r>
      <w:r>
        <w:t>е</w:t>
      </w:r>
      <w:r>
        <w:t xml:space="preserve"> </w:t>
      </w:r>
      <w:r>
        <w:t>п</w:t>
      </w:r>
      <w:r>
        <w:t>р</w:t>
      </w:r>
      <w:r>
        <w:t>о</w:t>
      </w:r>
      <w:r>
        <w:t>г</w:t>
      </w:r>
      <w:r>
        <w:t>р</w:t>
      </w:r>
      <w:r>
        <w:t>а</w:t>
      </w:r>
      <w:r>
        <w:t>м</w:t>
      </w:r>
      <w:r>
        <w:t>и</w:t>
      </w:r>
      <w:r>
        <w:t xml:space="preserve"> </w:t>
      </w:r>
      <w:r>
        <w:t>з</w:t>
      </w:r>
      <w:r>
        <w:t>а</w:t>
      </w:r>
      <w:r>
        <w:t xml:space="preserve"> </w:t>
      </w:r>
      <w:r>
        <w:t>м</w:t>
      </w:r>
      <w:r>
        <w:t>а</w:t>
      </w:r>
      <w:r>
        <w:t>к</w:t>
      </w:r>
      <w:r>
        <w:t>р</w:t>
      </w:r>
      <w:r>
        <w:t>о</w:t>
      </w:r>
      <w:r>
        <w:t>р</w:t>
      </w:r>
      <w:r>
        <w:t>е</w:t>
      </w:r>
      <w:r>
        <w:t>г</w:t>
      </w:r>
      <w:r>
        <w:t>и</w:t>
      </w:r>
      <w:r>
        <w:t>о</w:t>
      </w:r>
      <w:r>
        <w:t>н</w:t>
      </w:r>
      <w:r>
        <w:t>а</w:t>
      </w:r>
      <w:r>
        <w:t>л</w:t>
      </w:r>
      <w:r>
        <w:t>н</w:t>
      </w:r>
      <w:r>
        <w:t>и</w:t>
      </w:r>
      <w:r>
        <w:t>т</w:t>
      </w:r>
      <w:r>
        <w:t>е</w:t>
      </w:r>
      <w:r>
        <w:t xml:space="preserve"> </w:t>
      </w:r>
      <w:r>
        <w:t>с</w:t>
      </w:r>
      <w:r>
        <w:t>т</w:t>
      </w:r>
      <w:r>
        <w:t>р</w:t>
      </w:r>
      <w:r>
        <w:t>а</w:t>
      </w:r>
      <w:r>
        <w:t>т</w:t>
      </w:r>
      <w:r>
        <w:t>е</w:t>
      </w:r>
      <w:r>
        <w:t>г</w:t>
      </w:r>
      <w:r>
        <w:t>и</w:t>
      </w:r>
      <w:r>
        <w:t>и</w:t>
      </w:r>
      <w:r>
        <w:t xml:space="preserve"> </w:t>
      </w:r>
      <w:r>
        <w:t>и</w:t>
      </w:r>
      <w:r>
        <w:t xml:space="preserve"> </w:t>
      </w:r>
      <w:r>
        <w:t>с</w:t>
      </w:r>
      <w:r>
        <w:t>т</w:t>
      </w:r>
      <w:r>
        <w:t>р</w:t>
      </w:r>
      <w:r>
        <w:t>а</w:t>
      </w:r>
      <w:r>
        <w:t>т</w:t>
      </w:r>
      <w:r>
        <w:t>е</w:t>
      </w:r>
      <w:r>
        <w:t>г</w:t>
      </w:r>
      <w:r>
        <w:t>и</w:t>
      </w:r>
      <w:r>
        <w:t>и</w:t>
      </w:r>
      <w:r>
        <w:t>т</w:t>
      </w:r>
      <w:r>
        <w:t>е</w:t>
      </w:r>
      <w:r>
        <w:t xml:space="preserve"> </w:t>
      </w:r>
      <w:r>
        <w:t>з</w:t>
      </w:r>
      <w:r>
        <w:t>а</w:t>
      </w:r>
      <w:r>
        <w:t xml:space="preserve"> </w:t>
      </w:r>
      <w:r>
        <w:t>м</w:t>
      </w:r>
      <w:r>
        <w:t>о</w:t>
      </w:r>
      <w:r>
        <w:t>р</w:t>
      </w:r>
      <w:r>
        <w:t>с</w:t>
      </w:r>
      <w:r>
        <w:t>к</w:t>
      </w:r>
      <w:r>
        <w:t>и</w:t>
      </w:r>
      <w:r>
        <w:t>т</w:t>
      </w:r>
      <w:r>
        <w:t>е</w:t>
      </w:r>
      <w:r>
        <w:t xml:space="preserve"> </w:t>
      </w:r>
      <w:r>
        <w:t>б</w:t>
      </w:r>
      <w:r>
        <w:t>а</w:t>
      </w:r>
      <w:r>
        <w:t>с</w:t>
      </w:r>
      <w:r>
        <w:t>е</w:t>
      </w:r>
      <w:r>
        <w:t>й</w:t>
      </w:r>
      <w:r>
        <w:t>н</w:t>
      </w:r>
      <w:r>
        <w:t>и</w:t>
      </w:r>
      <w:r>
        <w:fldChar w:fldCharType="begin"/>
      </w:r>
      <w:r>
        <w:instrText xml:space="preserve">QUOTE </w:instrText>
      </w:r>
      <w:r>
        <w:instrText>34</w:instrText>
      </w:r>
      <w:r>
        <w:fldChar w:fldCharType="separate"/>
      </w:r>
      <w:r>
        <w:t>"</w:t>
      </w:r>
      <w:r>
        <w:fldChar w:fldCharType="end"/>
      </w:r>
      <w:r>
        <w:t xml:space="preserve"> </w:t>
      </w:r>
      <w:r>
        <w:t>н</w:t>
      </w:r>
      <w:r>
        <w:t>а</w:t>
      </w:r>
      <w:r>
        <w:t>с</w:t>
      </w:r>
      <w:r>
        <w:t>т</w:t>
      </w:r>
      <w:r>
        <w:t>о</w:t>
      </w:r>
      <w:r>
        <w:t>я</w:t>
      </w:r>
      <w:r>
        <w:t>щ</w:t>
      </w:r>
      <w:r>
        <w:t>а</w:t>
      </w:r>
      <w:r>
        <w:t>т</w:t>
      </w:r>
      <w:r>
        <w:t>а</w:t>
      </w:r>
      <w:r>
        <w:t xml:space="preserve"> </w:t>
      </w:r>
      <w:r>
        <w:t>п</w:t>
      </w:r>
      <w:r>
        <w:t>р</w:t>
      </w:r>
      <w:r>
        <w:t>о</w:t>
      </w:r>
      <w:r>
        <w:t>г</w:t>
      </w:r>
      <w:r>
        <w:t>р</w:t>
      </w:r>
      <w:r>
        <w:t>а</w:t>
      </w:r>
      <w:r>
        <w:t>м</w:t>
      </w:r>
      <w:r>
        <w:t>а</w:t>
      </w:r>
      <w:r>
        <w:t xml:space="preserve"> </w:t>
      </w:r>
      <w:r>
        <w:t>д</w:t>
      </w:r>
      <w:r>
        <w:t>о</w:t>
      </w:r>
      <w:r>
        <w:t>п</w:t>
      </w:r>
      <w:r>
        <w:t>р</w:t>
      </w:r>
      <w:r>
        <w:t>и</w:t>
      </w:r>
      <w:r>
        <w:t>н</w:t>
      </w:r>
      <w:r>
        <w:t>а</w:t>
      </w:r>
      <w:r>
        <w:t>с</w:t>
      </w:r>
      <w:r>
        <w:t>я</w:t>
      </w:r>
      <w:r>
        <w:t xml:space="preserve"> </w:t>
      </w:r>
      <w:r>
        <w:t>з</w:t>
      </w:r>
      <w:r>
        <w:t>а</w:t>
      </w:r>
      <w:r>
        <w:t xml:space="preserve"> </w:t>
      </w:r>
      <w:r>
        <w:t>м</w:t>
      </w:r>
      <w:r>
        <w:t>а</w:t>
      </w:r>
      <w:r>
        <w:t>к</w:t>
      </w:r>
      <w:r>
        <w:t>р</w:t>
      </w:r>
      <w:r>
        <w:t>о</w:t>
      </w:r>
      <w:r>
        <w:t>р</w:t>
      </w:r>
      <w:r>
        <w:t>е</w:t>
      </w:r>
      <w:r>
        <w:t>г</w:t>
      </w:r>
      <w:r>
        <w:t>и</w:t>
      </w:r>
      <w:r>
        <w:t>о</w:t>
      </w:r>
      <w:r>
        <w:t>н</w:t>
      </w:r>
      <w:r>
        <w:t>а</w:t>
      </w:r>
      <w:r>
        <w:t>л</w:t>
      </w:r>
      <w:r>
        <w:t>н</w:t>
      </w:r>
      <w:r>
        <w:t>и</w:t>
      </w:r>
      <w:r>
        <w:t xml:space="preserve"> </w:t>
      </w:r>
      <w:r>
        <w:t>с</w:t>
      </w:r>
      <w:r>
        <w:t>т</w:t>
      </w:r>
      <w:r>
        <w:t>р</w:t>
      </w:r>
      <w:r>
        <w:t>а</w:t>
      </w:r>
      <w:r>
        <w:t>т</w:t>
      </w:r>
      <w:r>
        <w:t>е</w:t>
      </w:r>
      <w:r>
        <w:t>г</w:t>
      </w:r>
      <w:r>
        <w:t>и</w:t>
      </w:r>
      <w:r>
        <w:t>и</w:t>
      </w:r>
      <w:r>
        <w:t xml:space="preserve"> </w:t>
      </w:r>
      <w:r>
        <w:t>и</w:t>
      </w:r>
      <w:r>
        <w:t>/</w:t>
      </w:r>
      <w:r>
        <w:t>и</w:t>
      </w:r>
      <w:r>
        <w:t>л</w:t>
      </w:r>
      <w:r>
        <w:t>и</w:t>
      </w:r>
      <w:r>
        <w:t xml:space="preserve"> </w:t>
      </w:r>
      <w:r>
        <w:t>с</w:t>
      </w:r>
      <w:r>
        <w:t>т</w:t>
      </w:r>
      <w:r>
        <w:t>р</w:t>
      </w:r>
      <w:r>
        <w:t>а</w:t>
      </w:r>
      <w:r>
        <w:t>т</w:t>
      </w:r>
      <w:r>
        <w:t>е</w:t>
      </w:r>
      <w:r>
        <w:t>г</w:t>
      </w:r>
      <w:r>
        <w:t>и</w:t>
      </w:r>
      <w:r>
        <w:t>и</w:t>
      </w:r>
      <w:r>
        <w:t xml:space="preserve"> </w:t>
      </w:r>
      <w:r>
        <w:t>з</w:t>
      </w:r>
      <w:r>
        <w:t>а</w:t>
      </w:r>
      <w:r>
        <w:t xml:space="preserve"> </w:t>
      </w:r>
      <w:r>
        <w:t>м</w:t>
      </w:r>
      <w:r>
        <w:t>о</w:t>
      </w:r>
      <w:r>
        <w:t>р</w:t>
      </w:r>
      <w:r>
        <w:t>с</w:t>
      </w:r>
      <w:r>
        <w:t>к</w:t>
      </w:r>
      <w:r>
        <w:t>и</w:t>
      </w:r>
      <w:r>
        <w:t>т</w:t>
      </w:r>
      <w:r>
        <w:t>е</w:t>
      </w:r>
      <w:r>
        <w:t xml:space="preserve"> </w:t>
      </w:r>
      <w:r>
        <w:t>б</w:t>
      </w:r>
      <w:r>
        <w:t>а</w:t>
      </w:r>
      <w:r>
        <w:t>с</w:t>
      </w:r>
      <w:r>
        <w:t>е</w:t>
      </w:r>
      <w:r>
        <w:t>й</w:t>
      </w:r>
      <w:r>
        <w:t>н</w:t>
      </w:r>
      <w:r>
        <w:t>и</w:t>
      </w:r>
      <w:r>
        <w:t>:</w:t>
      </w:r>
    </w:p>
    <w:p w:rsidR="000C0F34" w:rsidP="000C0F34">
      <w:pPr>
        <w:pStyle w:val="Text1"/>
        <w:ind w:left="0"/>
      </w:pP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42"/>
      </w:tblGrid>
      <w:tr w:rsidTr="00344C66">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c>
          <w:tcPr>
            <w:shd w:val="clear" w:color="auto" w:fill="auto"/>
          </w:tcPr>
          <w:p>
            <w:pPr>
              <w:spacing w:before="0" w:after="240"/>
              <w:jc w:val="left"/>
              <w:rPr>
                <w:rFonts w:ascii="Times New Roman" w:eastAsia="Times New Roman" w:hAnsi="Times New Roman" w:cs="Times New Roman"/>
              </w:rPr>
            </w:pPr>
            <w:r>
              <w:rPr>
                <w:rFonts w:ascii="Times New Roman" w:eastAsia="Times New Roman" w:hAnsi="Times New Roman" w:cs="Times New Roman"/>
              </w:rPr>
              <w:t>Стратегията на ЕС за Дунавския регион (EUSDR) е макрорегионална стратегия, приета от Европейската комисия през декември 2010 г. и одобрена от Европейския съвет през 2011 г. Стратегията се стреми да създаде взаимодействие и координация между съществуващите политики и инициативи, които се провеждат в целия Дунавски регион, с цел по-тясно сътрудничество, а не за финансиране.</w:t>
            </w:r>
          </w:p>
          <w:p>
            <w:pPr>
              <w:spacing w:before="240" w:after="240"/>
              <w:jc w:val="left"/>
              <w:rPr>
                <w:rFonts w:ascii="Times New Roman" w:eastAsia="Times New Roman" w:hAnsi="Times New Roman" w:cs="Times New Roman"/>
              </w:rPr>
            </w:pPr>
            <w:r>
              <w:rPr>
                <w:rFonts w:ascii="Times New Roman" w:eastAsia="Times New Roman" w:hAnsi="Times New Roman" w:cs="Times New Roman"/>
              </w:rPr>
              <w:t>За периода 2021-2027 г. постигането на целите и приоритетите на Дунавската стратегия ще се управлява от два или повече национални координатори, отговорни за всяка отделна приоритетна област (PAC). България е един от координаторите в приоритетни области 3 „Да насърчава културата и туризма, контактите между хората“ и 11 „Да работим заедно за справяне със сигурността и организираната престъпност“.</w:t>
            </w:r>
          </w:p>
          <w:p>
            <w:pPr>
              <w:spacing w:before="240" w:after="240"/>
              <w:jc w:val="left"/>
              <w:rPr>
                <w:rFonts w:ascii="Times New Roman" w:eastAsia="Times New Roman" w:hAnsi="Times New Roman" w:cs="Times New Roman"/>
              </w:rPr>
            </w:pPr>
            <w:r>
              <w:rPr>
                <w:rFonts w:ascii="Times New Roman" w:eastAsia="Times New Roman" w:hAnsi="Times New Roman" w:cs="Times New Roman"/>
              </w:rPr>
              <w:t>Следвайки принципа на ротация, председателството на EUSDR се поема от държава, участваща в EUSDR, за период от една година. Сегашното председателство на EUSDR проактивно осъществява координацията между националните координатори и координаторите по приоритетни области (PAC), подкрепени от Дунавската стратегическа точка (DSP) и в сътрудничество с Европейската комисия (ЕК) и се стреми да улесни вземането на решения и сътрудничеството. От 1 ноември 2022 г. до 31 октомври 2023 г. Словения поема председателството на Европейската стратегия за Дунавския регион от Украинското председателство за периода 2021-2022 г. (https://danube-region.eu/the-eusdr-presidency/#1678702882652-dcf94eaa-2949). В края на месец декември 2022 е изготвен доклад за изпълнение на EUSDR за 2020-2021 г., публикувани от DSP, обобщаващи напредъка и постиженията на приоритетните области на EUSDR, както и основните дейности и добавената стойност на ниво EUSDR (https://danube-region.eu/about/implementation-reports/).</w:t>
            </w:r>
          </w:p>
          <w:p>
            <w:pPr>
              <w:spacing w:before="240" w:after="240"/>
              <w:jc w:val="left"/>
              <w:rPr>
                <w:rFonts w:ascii="Times New Roman" w:eastAsia="Times New Roman" w:hAnsi="Times New Roman" w:cs="Times New Roman"/>
              </w:rPr>
            </w:pPr>
            <w:r>
              <w:rPr>
                <w:rFonts w:ascii="Times New Roman" w:eastAsia="Times New Roman" w:hAnsi="Times New Roman" w:cs="Times New Roman"/>
              </w:rPr>
              <w:t>В тази връзка, по отношение на постигането на целите, потвърдени през 2016 г. от националните координатори и координаторите на приоритетните области, налични на уебсайта на EUSDR и актуализирани към 28.11.2019 г. ( https://danube-region.eu/download/bulgaria-embedding-state-of-play-jan2016/# ), към 31.12.2022 г. не са докладвани поставени и изпълнени цели по ПРСР 2014-2020.</w:t>
            </w:r>
          </w:p>
          <w:p w:rsidR="000C0F34" w:rsidP="00344C66">
            <w:pPr>
              <w:pStyle w:val="Text1"/>
              <w:ind w:left="0"/>
            </w:pPr>
          </w:p>
        </w:tc>
      </w:tr>
    </w:tbl>
    <w:p w:rsidR="000C0F34" w:rsidP="000C0F34">
      <w:pPr>
        <w:pStyle w:val="Text1"/>
        <w:ind w:left="0"/>
      </w:pPr>
    </w:p>
    <w:p w:rsidR="000C0F34" w:rsidP="000C0F34">
      <w:pPr>
        <w:autoSpaceDE w:val="0"/>
        <w:autoSpaceDN w:val="0"/>
        <w:adjustRightInd w:val="0"/>
        <w:spacing w:before="0" w:after="0"/>
      </w:pPr>
      <w:r>
        <w:rPr>
          <w:rFonts w:ascii="Wingdings" w:hAnsi="Wingdings" w:cs="Wingdings"/>
          <w:sz w:val="26"/>
          <w:szCs w:val="26"/>
          <w:lang w:val="en-US"/>
        </w:rPr>
        <w:sym w:font="Wingdings" w:char="F0A8"/>
      </w:r>
      <w:r>
        <w:t xml:space="preserve">  </w:t>
      </w:r>
      <w:r>
        <w:rPr>
          <w:noProof/>
        </w:rPr>
        <w:t>Стратегия на ЕС за региона на Балтийско море (EUSBSR)</w:t>
      </w:r>
    </w:p>
    <w:p w:rsidR="000C0F34" w:rsidP="000C0F34">
      <w:r>
        <w:rPr>
          <w:rFonts w:ascii="Wingdings" w:hAnsi="Wingdings" w:cs="Wingdings"/>
          <w:sz w:val="26"/>
          <w:szCs w:val="26"/>
          <w:lang w:val="en-US"/>
        </w:rPr>
        <w:sym w:font="Wingdings" w:char="F0A8"/>
      </w:r>
      <w:r>
        <w:t xml:space="preserve">  </w:t>
      </w:r>
      <w:r>
        <w:rPr>
          <w:noProof/>
        </w:rPr>
        <w:t>Стратегия на ЕС за региона на река Дунав (EUSDR)</w:t>
      </w:r>
    </w:p>
    <w:p w:rsidR="000C0F34"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Адриатическо и Йонийско море (EUSAIR)</w:t>
      </w:r>
    </w:p>
    <w:p w:rsidR="000C0F34"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Алпите (EUSALP)</w:t>
      </w:r>
    </w:p>
    <w:p w:rsidR="000C0F34" w:rsidRPr="00F70AEC" w:rsidP="000C0F34">
      <w:pPr>
        <w:pStyle w:val="Text1"/>
        <w:ind w:left="0"/>
        <w:rPr>
          <w:sz w:val="8"/>
          <w:szCs w:val="8"/>
        </w:rPr>
      </w:pPr>
      <w:r>
        <w:rPr>
          <w:rFonts w:ascii="Wingdings" w:hAnsi="Wingdings" w:cs="Wingdings"/>
          <w:sz w:val="26"/>
          <w:szCs w:val="26"/>
          <w:lang w:val="en-US"/>
        </w:rPr>
        <w:sym w:font="Wingdings" w:char="F0A8"/>
      </w:r>
      <w:r>
        <w:t xml:space="preserve">  </w:t>
      </w:r>
      <w:r>
        <w:rPr>
          <w:noProof/>
        </w:rPr>
        <w:t>Стратегия за басейна на Атлантическия океан (ATLSBS)</w:t>
      </w:r>
    </w:p>
    <w:p w:rsidR="000C0F34" w:rsidRPr="00F70AEC" w:rsidP="000C0F34">
      <w:pPr>
        <w:rPr>
          <w:sz w:val="8"/>
          <w:szCs w:val="8"/>
        </w:rPr>
      </w:pPr>
      <w:r>
        <w:br w:type="page"/>
      </w:r>
    </w:p>
    <w:p w:rsidR="000C0F34" w:rsidRPr="00E97D08" w:rsidP="000C0F34">
      <w:r>
        <w:br w:type="page"/>
      </w:r>
    </w:p>
    <w:p w:rsidR="00D522C8" w:rsidRPr="000C0F34" w:rsidP="000C0F34">
      <w:pPr>
        <w:sectPr>
          <w:pgMar w:top="900" w:right="900" w:bottom="900" w:left="900" w:header="720" w:footer="720"/>
          <w:cols w:space="720"/>
        </w:sectPr>
      </w:pPr>
    </w:p>
    <w:p>
      <w:pPr>
        <w:pStyle w:val="Heading2"/>
      </w:pPr>
      <w:bookmarkStart w:id="8" w:name="_Toc256000008"/>
      <w:r>
        <w:t>Валутен курс, използван за преизчисляването в ГДИ (страни извън ЕС)</w:t>
      </w:r>
      <w:bookmarkEnd w:id="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Използваният валутен курс е този на ЕЦБ - 1:1,9558</w:t>
            </w:r>
          </w:p>
          <w:p>
            <w:pPr>
              <w:pStyle w:val="BodyText"/>
              <w:jc w:val="both"/>
            </w:pPr>
          </w:p>
        </w:tc>
      </w:tr>
    </w:tbl>
    <w:p>
      <w:pPr>
        <w:sectPr>
          <w:pgMar w:top="900" w:right="900" w:bottom="900" w:left="900" w:header="720" w:footer="720"/>
          <w:cols w:space="720"/>
        </w:sectPr>
      </w:pPr>
    </w:p>
    <w:p>
      <w:pPr>
        <w:pStyle w:val="Heading1"/>
      </w:pPr>
      <w:bookmarkStart w:id="9" w:name="_Toc256000009"/>
      <w:r>
        <w:t>Напредъкът в изпълнението на плана за оценка</w:t>
      </w:r>
      <w:bookmarkEnd w:id="9"/>
    </w:p>
    <w:p>
      <w:pPr>
        <w:pStyle w:val="Heading2"/>
      </w:pPr>
      <w:bookmarkStart w:id="10" w:name="_Toc256000010"/>
      <w:r>
        <w:t>Описание на евентуални изменения, направени в плана за оценка на ПРСР през годината, със съответната обосновка</w:t>
      </w:r>
      <w:bookmarkEnd w:id="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изменения в Раздел 9 „План за оценки“ от ПРСР 2014-2020 г. не са извършвани.</w:t>
            </w:r>
          </w:p>
          <w:p>
            <w:pPr>
              <w:pStyle w:val="BodyText"/>
              <w:jc w:val="both"/>
            </w:pPr>
          </w:p>
        </w:tc>
      </w:tr>
    </w:tbl>
    <w:p>
      <w:pPr>
        <w:pStyle w:val="Heading2"/>
      </w:pPr>
      <w:bookmarkStart w:id="11" w:name="_Toc256000011"/>
      <w:r>
        <w:t>Описание на предприетите дейности за оценка през годината (във връзка с раздел 3 на плана за оценка)</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не са извършвани оценки на ПРСР 2014-2020 г.</w:t>
            </w:r>
          </w:p>
          <w:p>
            <w:pPr>
              <w:pStyle w:val="BodyText"/>
              <w:jc w:val="both"/>
            </w:pPr>
          </w:p>
        </w:tc>
      </w:tr>
    </w:tbl>
    <w:p>
      <w:pPr>
        <w:pStyle w:val="Heading2"/>
      </w:pPr>
      <w:bookmarkStart w:id="12" w:name="_Toc256000012"/>
      <w:r>
        <w:t>Описание на дейностите, предприети по отношение на предоставянето и управлението на данни (във връзка с раздел 4 на плана за оценка)</w:t>
      </w:r>
      <w:bookmarkEnd w:id="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плана за оценка на ПРСР, Министерство на земеделието е отправило официално искане за предоставяне на информация за целите на Годишния доклад за 2022 г. до ДФЗ.</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исканията за предоставяне на информация, от страна на ДФЗ са получени основната част от данните, използвани при изготвяне на Годишния доклад на ПРСР 2014–2020 г. за 2022 г., като предоставената информация първоначално е с недостатъчно добра консистенция и не позволява извеждане на резултатите за мониторинга без експертна намеса, като това увеличава вероятността за допускане на технически грешки при анализа на данните.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Важно е да се отбележи, че създадените системи за наблюдение и оценка на ПРСР в ИСУН 2020 все още не са в състояние да отговорят на нуждите за оценка на Програмата, както генерираната информация от системата не може да гарантира изискванията за всеобхвотност, надежност и точност на данните. Като цяло, е почти невъзможно или е възможно чрез полагане на огромни експертни усилия, да се достигне до качествени и верни резултати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все още не е разработен информационен модул за мониторинг, който да позволи отчитане в реално време на всички индикатори, напредъка в договарянето и разплащането на средствата, както и остатъчните бюджети по мерките. В изпълнение на функцията си по наблюдение, УО на ПРСР 2014-2020 следва да търси начини, или за разширяване обхвата на системата ИСУН 2020, или за създаване на специализиран модул към вече изградената информационна система на ДФЗ, с цел отчитане в реално време за всички индикатори по индикаторен план и мониторинговите таблици към годишния доклад за изпълнението, напредъка в договарянето и разплащането на средствата, остатъчните бюджети по мерките и резултатите от изпълнението на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Въпреки промените в ЗПЗП (изм. и доп. на ДВ. бр. 102 от 23.12.2022 г.), които отчасти управляват риска от събиране на ненадежни данни, във връзка с наблюдението и оценката на подхода ВОМР в СП, и предвид, че ЕЗФРСР е избран за водещ фонд, следва да се обмисли доколко е целесъобразно този подход да бъде приложен, съгласно правилата и системите, предвидени в ЗУСЕФСУ. Необходимо е да се прецени дали ВОМР не следва да се прилага по правилата на ЗПЗП, като по този начин ще се гарантира събирането на информация, необходима за целите на изготвянето на Годишните доклади за качеството на изпълнението на СП. Към настоящия момент все още ИСУН 2020 не дава възможност за събиране на данни, от които автоматично да се извеждат стойности за показателите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 </w:t>
            </w:r>
          </w:p>
          <w:p>
            <w:pPr>
              <w:pStyle w:val="BodyText"/>
              <w:jc w:val="both"/>
            </w:pPr>
          </w:p>
        </w:tc>
      </w:tr>
    </w:tbl>
    <w:p>
      <w:pPr>
        <w:sectPr>
          <w:pgMar w:top="900" w:right="900" w:bottom="900" w:left="900" w:header="720" w:footer="720"/>
          <w:cols w:space="720"/>
        </w:sectPr>
      </w:pPr>
    </w:p>
    <w:p>
      <w:pPr>
        <w:pStyle w:val="Heading2"/>
      </w:pPr>
      <w:bookmarkStart w:id="13" w:name="_Toc256000013"/>
      <w:r>
        <w:t>Списък на завършените оценки, включително посочване на местата, където те са публикувани в интернет</w:t>
      </w:r>
      <w:bookmarkEnd w:id="13"/>
    </w:p>
    <w:p>
      <w:pPr>
        <w:jc w:val="left"/>
        <w:rPr>
          <w:rFonts w:ascii="Times New Roman" w:eastAsia="Times New Roman" w:hAnsi="Times New Roman" w:cs="Times New Roman"/>
          <w:b w:val="0"/>
          <w:sz w:val="24"/>
        </w:rPr>
      </w:pPr>
      <w:r>
        <w:rPr>
          <w:rFonts w:ascii="Times New Roman" w:eastAsia="Times New Roman" w:hAnsi="Times New Roman" w:cs="Times New Roman"/>
          <w:b w:val="0"/>
          <w:sz w:val="24"/>
        </w:rPr>
        <w:t>Не са дефинирани приключени оценки</w:t>
      </w:r>
    </w:p>
    <w:p>
      <w:pPr>
        <w:sectPr>
          <w:pgMar w:top="900" w:right="900" w:bottom="900" w:left="900" w:header="720" w:footer="720"/>
          <w:cols w:space="720"/>
        </w:sectPr>
      </w:pPr>
    </w:p>
    <w:p>
      <w:pPr>
        <w:pStyle w:val="Heading2"/>
      </w:pPr>
      <w:bookmarkStart w:id="14" w:name="_Toc256000014"/>
      <w:r>
        <w:t>Резюме на приключени оценки, което се съсредоточава върху заключенията от тях</w:t>
      </w:r>
      <w:bookmarkEnd w:id="14"/>
    </w:p>
    <w:p>
      <w:r>
        <w:t xml:space="preserve">Моля, обобщете констатациите от оценките, завършени през 2020 г., по цел на ОСП (или приоритет на ПРСР, където е уместно). </w:t>
      </w:r>
    </w:p>
    <w:p>
      <w:r>
        <w:t xml:space="preserve">Посочете положителните или отрицателните ефекти/въздействия (включително доказателствата за тези ефекти/въздействия). Моля, не забравяйте да посочите източника на констатациите. </w:t>
      </w:r>
    </w:p>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56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noWrap w:val="0"/>
            <w:tcMar>
              <w:top w:w="20" w:type="dxa"/>
              <w:left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не са дефинирани приключени оценки по ПРСР 2014-2020 г., информация за последната завършена оценка на ПРСР (текуща оценка до края на 2018 г.) е публикувана та Интернет страницата на МЗХГ, раздел „Политики и програми“, под-раздел „Програма за развитие на селските райони“, под-раздел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https://www.mzh.government.bg/bg/politiki-i-programi/programi-za-finansirane/programa-za-razvitie-na-selskite-rayoni/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е завършена предварителната оценка (и стратегическата оценка на околната среда) на СПРЗСР 2023-2027 г., която е неразделна част от СПРЗСР, официално одобрен от службите на ЕК на 07.12.2022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на СПРЗСР е описана в т. 9.3. „Теми и дейности за оценка“ от Раздел 9 „План за оценки“, като „Предварителна оценка на ПРСР (2021-2027).“.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не са дефинирани приключени оценки на ПРСР 2014-2020 г., като последната приключила такава е описана в рамките на Годишния доклад за изпълнението на ПРСР 2014-2020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на СПРЗСР е публикувана на Интернет страницата на МЗм, раздел „ОСП 2023-2027 г.“, под-раздел „Тематична работна група за ОСП 2023-2027 г.“.</w:t>
            </w:r>
          </w:p>
          <w:p>
            <w:pPr>
              <w:pStyle w:val="BodyText"/>
              <w:jc w:val="both"/>
            </w:pPr>
          </w:p>
        </w:tc>
      </w:tr>
    </w:tbl>
    <w:p>
      <w:pPr>
        <w:pStyle w:val="Heading2"/>
      </w:pPr>
      <w:bookmarkStart w:id="15" w:name="_Toc256000015"/>
      <w:r>
        <w:t>Описание на дейностите, предприети по отношение на публикуването на констатациите от оценката (във връзка с раздел 6 на плана за оценка)</w:t>
      </w:r>
      <w:bookmarkEnd w:id="15"/>
    </w:p>
    <w:p>
      <w:pPr>
        <w:jc w:val="left"/>
        <w:sectPr>
          <w:pgMar w:top="900" w:right="900" w:bottom="900" w:left="900" w:header="720" w:footer="720"/>
          <w:cols w:space="720"/>
        </w:sectPr>
      </w:pPr>
      <w:r>
        <w:t>Не са дефинирани комуникационни дейности</w:t>
      </w:r>
    </w:p>
    <w:p>
      <w:pPr>
        <w:pStyle w:val="Heading2"/>
      </w:pPr>
      <w:bookmarkStart w:id="16" w:name="_Toc256000016"/>
      <w:r>
        <w:t>Описание на предприетите последващи действия във връзка с резултатите от оценката (във връзка с раздел 6 на плана за оценка)</w:t>
      </w:r>
      <w:bookmarkEnd w:id="16"/>
    </w:p>
    <w:p>
      <w:pPr>
        <w:jc w:val="left"/>
        <w:sectPr>
          <w:pgMar w:top="900" w:right="900" w:bottom="900" w:left="900" w:header="720" w:footer="720"/>
          <w:cols w:space="720"/>
        </w:sectPr>
      </w:pPr>
      <w:r>
        <w:t>Не са дефинирани последващи действия</w:t>
      </w:r>
    </w:p>
    <w:p>
      <w:pPr>
        <w:pStyle w:val="Heading1"/>
        <w:jc w:val="left"/>
      </w:pPr>
      <w:bookmarkStart w:id="17" w:name="_Toc256000017"/>
      <w:r>
        <w:t>Проблеми, свързани с изпълнението на програмата и приетите мерки</w:t>
      </w:r>
      <w:bookmarkEnd w:id="17"/>
    </w:p>
    <w:p>
      <w:pPr>
        <w:pStyle w:val="Heading2"/>
      </w:pPr>
      <w:bookmarkStart w:id="18" w:name="_Toc256000018"/>
      <w:r>
        <w:t>Описание на предприетите стъпки за осигуряване на качеството и ефективността на изпълнението на програмата</w:t>
      </w:r>
      <w:bookmarkEnd w:id="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56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noWrap w:val="0"/>
            <w:tcMar>
              <w:top w:w="20" w:type="dxa"/>
              <w:left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по наблюдение на ПРСР 2014-2020 (КН)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е органът, който следи за ефективното, ефикасно и качествено изпълнение на Програмата, с помощта на финансови показатели и показатели за резултати и цели. През 2022 г. са проведени две заседания на Комитета по наблюдение чрез видеоконферентна връзка и три писмени процедури.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проведените заседания са дискутирани въпроси и са взимани решения, свързани с компетенциите на КН. Управляващият орган е осигурил достъп до всички материали от заседанията на Комитета по наблюдение, като същите се публикуват на интернет сайта на министерство на земеделието и храните, в специална секция предназначена за ПРСР 2014-2020. По този начин е осигурен обществен достъп до информацията и обсъжданията от проведените заседания.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https://www.mzh.government.bg/bg/politiki-i-programi/programi-za-finansirane/programa-za-razvitie-na-selskite-rayoni/komitet-po-nablyudenie-prsr-2014-2020/materiali-i-stenografski-protokoli/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Осемнадесето заседание на КН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11.07.2022 г. се проведе 18 заседание на Комитета за наблюдение на ПРСР 2014-2020 г. чрез видеоконферентна връзка. Освен разглеждането и одобрението на предложението на УО за актуализиране на ИГРП за 2022 г., е представена и информация за напредъка на ПРСР 2014-2020 г., както и предложения на Управляващия орган (УО) на ПРСР 2014-2020 г. за допълнение на Програмата за развитие на селските райони 2014-2020 г. и предоставяне на мандат на Управляващия орган да договори промените с Европейската комисия,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Предложение за промяна в текста на подмярка 7.2 „Инвестиции в създаването, подобряването или разширяването на всички видове малка по мащаби инфраструктура“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Предложението за изменение на критериите за подбор на проектни предложения по подмярка 7.2 „Инвестиции в създаването, подобряването или разширяването на всички видове малка по мащаби инфраструктура“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Деветнадесето заседание на КН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11.11.2022 г. е проведено 19 заседание на Комитета за наблюдение на ПРСР 2014-2020 г. чрез видеоконферентна връзка. Основната тема на заседанието е направеното предложение от УО за въвеждане на извънредна мярка 22 „Извънредно временно подпомагане за земеделските стопани и МСП, които са особено засегнати от последиците от руското нашествие в Украйна“ в  ПРСР 2014-2020, прехвърляне на средства и актуализиране на Финансовия план на ПРСР 2014-2020, промяна в текста на мярка 7 „Основни услуги и обновяване на селата в селските райони“ и в раздел 8 „Описание на избраните мерки“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са направени предложения от УО на ПРСР за актуализиране на Индикативната годишна работна програма на ПРСР за 2022 година и информация за напредъка в изпълнението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Проблеми и предприетите стъпки за осигуряване на качеството и ефективността на изпълнението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Въпреки промяната на ЗУСЕФСУ, се запазват съществуващите проблеми, свързани с изискването всяко проектно предложение да се оценява от най-малко от двама независими един от друг членове на комисия и въведената процедура на докладване на взетите решения за отпускане на подпомагане, съгласно която договори могат да бъдат подписвани, само когато решенията по всички проекти са взети. Запазва се и предпоставката за забавяне, свързана с въведеното обжалване от страна на кандидатите, както на етап предварителна оценка, така и на етап оценка за административно съответствие и допустимост.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Продължава да се прилага практиката, свързана с факта, че голяма част от приемите по отделните мерки се изпълняват по различни правила за оценка и критерии за подбор, което води до необходимостта от изготвяне и одобрение на нови вътрешни правила и процедури за прилагане и контрол по всеки отделен прием по дадена подмярка.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Потвърждават се и проблемите, свързани с работа успоредно в двете системи (ИСУН и ИСАК), поради причини, свързани с невъзможността на ИСУН 2020 да събира данни и генерира справки за целите на мониторинга, отчитането, докладването и оценката на ПРСР. Това допринася и за ненавременното и коректно събиране на данни. При изготвянето на настоящата оценка оценителният екип срещна затруднения от този характер при събирането на данните, най-вече във връзка с подхода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Въпреки това, следва да се отбележи и, че във връзка с публикувания на страницата на ДФЗ План с мерки за подобряване дейността на ДФЗ - публичност и прозрачност в работата (https://www.dfz.bg/bg/za-dfz/plan-merki-dfz-public-transparent/) са постигнати следните резултати: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ДФЗ е спазил всички предприети мерки за подобряване дейността на ДФЗ - публичност и прозрачност в работата, като към края на 2022 г. са обработени всички забавени проекти по подхода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изготвено е и е публикувано на сайта на ДФЗ „Ръководство на бенефициента“, което предоставя конкретна, синтезирана и систематизирана информация за основни права и задължения на бенефициентите и осигуряване на ефективно техническо и финансово изпълнение на договора за безвъзмездна финансова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въведена е практика в писмената кореспонденция да се посочват телефони за обратна връзка, като по този начин кандидатите/бенефициентите получават подробна информация и допълнителни разяснения за установените непълноти и неясноти по подадените от тях проекти, искания за анекси, съгласуване на тръжни документи, искания за плащане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откритите са допълнителни „горещи“ телефонни линии (две за дирекция ДПМРСР и две за дирекция ОППМРСР), като за 2022 г. регистрираните обаждания са над 1000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ежемесечно на сайта на ДФЗ се публикува информация за напредъка на мерките и подмерките.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разултат на разработения план за действие и успешно приложените мерки от страна на ДФЗ са наваксани значителна част от забавените проекти. Положителната тенденция в тази посока продължава и през 2023 г., като по данни от ДФЗ, всички постъпили проекти по подхода ЛИДЕР се обработват в срок.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Положителният резултат от прилагането на въведените мерки за подобряване дейността на ДФЗ се потвърждава и от постъпил и публикуван на сайта поздравителен адрес*, в който се посочва, че експертите на ДФЗ са обработили над 4000 проекта по подмерки 6.1, 6.3 и други. В адреса е отбелязано, че е наваксано и изоставането с години, обработени са проекти дори и от 2019 г. Спазени са всички срокове, съгласно индикативния график за кампания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*https://www.dfz.bg/bg/prescentar/novini/blagodarim_na_dfz_govedovydi/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допълнителна мярка е осигурен достъп на служителите до регистрите в различните администрации за извършване на служебни проверки и потвърждение на декларираните от кандидатите/бенефициентите данни, което значително намалява административната тежест за кандидати по ПРСР. Осигурена е и възможност кандидатите да сключват административните договори и допълнителни споразумения (анекси) към административните договори с Квалифициран електронен подпис (КЕП). Следва да бъде отбелязано, че в резултат на въведените мерки за облекчаване на административната тежест са обработени допълнително над 2000 искания за изменение на административните договори.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ДФЗ успешно е защитил необходимостта от увеличаване на щатния персонал на администрацията, като, считано от началото на 2023 г. са осигурени допълнителни 130 щатни бройки, като дирекция ДПМРСР нараства до 164, а дирекция ОППМРСР нараства до 104.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УО, съвместно с ДФЗ следва да продължи да анализира причините и да търси непрекъснато подобряване на процесите по одобрение, изпълнение и отчитане на проектните предложения, в резултат на което да се насочат допълнителни усилия за опростяване на правилата и намаляване на административната тежест. С цел увеличаване на размера на реалните плащания (междинни и окончателни) по част от мерките следва да се въведат допълнителни механизми за наблюдение изпълнението на проектите и процедура за ранно предупреждение за операции в риск. УО и ДФЗ следва да приложат предвидените действия за смекчаване на последиците от възможните рискове при изпълнението на мерките от ПРСР 2014-2020, като предвидят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Правило за автоматично освобождаване и рамката за изпълнение (N+3)</w:t>
            </w:r>
            <w:r>
              <w:rPr>
                <w:rFonts w:ascii="Times New Roman" w:eastAsia="Times New Roman" w:hAnsi="Times New Roman" w:cs="Times New Roman"/>
                <w:b/>
                <w:bCs/>
                <w:szCs w:val="24"/>
              </w:rPr>
              <w:t xml:space="preserve">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Регламентът предвижда за първи път да бъде оценено към края на 2018-та година усвояването на бюджет 2015 по финансов план - в размер на 503 млн. евро средства на ЕЗФРСР. Следваща година за оценка е краят на 2019 г. – към 31.12.2019 г. са разплатени още 505 млн. евро - бюджет 2016 по финансов план. Към края на 2021 календарна година е усвоен и бюджет 2018, в размер на 339.9 млн. евро от ЕЗФРСР. Общо, към края на 2022 г. по правилото N+3 следва да бъдат усвоени поне 2 027,7 млн. евро ЕЗФРСР, като за да бъде изпълнено това условие, плащанията към бенефициенти трябва да бъдат в размер на поне 1 836 млн.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Според получената информация от ДФЗ, към 31.12.2022 г., съгласно правилото N+3 са разплатени 100,8 % от всички необходими средства от ЕЗФРСР от нужното ниво на усвояване, т.е. след достигане на целта за 2022 г., към 31.12.2022 г., са надплатени допълнително 17 млн. евро средства от ЕЗФРСР, които намаляват още в началото на годината риска от автоматично отчисление на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Въпреки това, още в началото на м. януари 2023 г., от страна на УО, след направен анализ, e идентифициран риск по отношение на разплащанията по ПРСР 2014-2020 към края на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предстоящите бъдещи предизвикателства (приключане на ПРСР 2014-2020 г., стартиране на интервенциите по СП 2023-2027 и прилагането на НПВУ), пред които са изправени УО и ДФЗ, следва да се извърши детайлен анализ на целесъобразността от откриване на нови приеми по ПРСР 2014-2020 г. Неправилното планиране, управление и координиране на ангажиментите ще доведе до прекомерно натоварване, което предполага висока вероятност на риск от загуба на средства и по трите механизма.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обмислят мерки за ефективно управление на остатъчните бюджети, като примерни такива могат да бъдат посочени: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възможност за трансфер на средста между отделните мерки и фокус области, което да даде възможност за наддоговаряне на вече обработени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преценят възможностите за организиране на приеми, свързани със закупуване на земеделска техника и/или оборудване за земеделските стопанства и предприятия, като по целесъобразност се определят типове инвестиции, които ще допринесат за постигане на приоритети P4: „Възстановяване, опазване и укрепване на екосистемите, свързани със селското и горското стопанство“ и 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Дейностите и инвестициите следва да бъдат подбрани по начин, който гарантира тяхното бързо планиране, изпълнение и отчитане, с оглед справяне със създалата се ситуация, свързана с правилото за автоматична отмяна в края на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УО може да обмисли допълнителни действия за намаляване на риска от автоматично отчисление на средства, като анализира предвидените в ИГРП за 2023 г. приеми и да прецени възможностите за включване на подмерки, които не изискват изпълнение на сложни процедури за възлагане и изпълнение на инвестициите. Стартирането на приеми по сложни и трудно изпълними подмерки след средата на 2023 г. крие допълнителен риск от загуба на средства в края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Индикативна годишна работна програма за 2</w:t>
            </w:r>
            <w:r>
              <w:rPr>
                <w:rFonts w:ascii="Times New Roman" w:eastAsia="Times New Roman" w:hAnsi="Times New Roman" w:cs="Times New Roman"/>
                <w:b/>
                <w:bCs/>
                <w:szCs w:val="24"/>
              </w:rPr>
              <w:t>023</w:t>
            </w:r>
            <w:r>
              <w:rPr>
                <w:rFonts w:ascii="Times New Roman" w:eastAsia="Times New Roman" w:hAnsi="Times New Roman" w:cs="Times New Roman"/>
                <w:b/>
                <w:bCs/>
                <w:szCs w:val="24"/>
              </w:rPr>
              <w:t xml:space="preserve"> г. (ИГРП)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от ИГРП за 2023 г. са предвидени приеми по подмерки 1.2. „Демонстрационни дейности и действия по осведомяване“, 4.3 „Подкрепа за инвестиции в инфраструктура, свързана с развитието, модернизирането или адаптирането на селското и горското стопанство“, 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 и 6.4. „Инвестиции в подкрепа на неземеделски дейности“. Към настоящия момент все още не са публикувани необходимите документи за стартиране на приемите по посочените по-горе подмерки. В ИГРП за 2023 г. е предвидено те да стартират през втората половина на годината, което съгласно националното законодателство означава, че те ще бъдат договорени най-рано през първата половина на 2024 г., а това на практика означава, че ИГРП за 2023 г. не би допринесла за управлението на риска от автоматично отчисление на средства през 2023 г., а нейният принос към правилото N+3 ще се отрази през следващите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Стратегически план за развитието на земеделието и развитието на селските райони за периода 2023 – 2027 г. (СП)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07.12.2022 г. Стратегическият план е одобрен от службите на ЕК, с Решение C(2022)8749 от 07.12.2022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Периодът на действие на СП е в съответствие с многогодишната финансова рамка за периода 2023-2027 г. на Общата селскостопанска политика (ОСП) на Европейския съюз. СП се базира на десет основни цели, определени в плана като „специфични цели“.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2022 г. няма приет нито един нормативен акт пряко свързан с прилагането на СП, с изключение на изменения в Закона за подпомагане на земеделските производители (ЗПЗП) в сила от 01.01.2023 г. Изменението в ЗПЗП обхваща изцяло прилагането на СП, като е предвидено всички интервенции да се подават електронно в системата за електронни услуги (СЕУ) на ДФЗ. СЕУ ще осигури възможност за събиране на входните данни, които са необходими за наблюдението и оценката на СП. С изх. № КЗХ-48-253-07-30 от 23.12.2022 г. Комисията по земеделието, храните и горите към 48 Народно събрание на Република България е отправила предложения за промяна в одобрения Стратегически план по ОСП 2023-2027 г. В тази връзка, при извършване на настоящата оценка е извършен анализ, чрез съпоставяне на данни с предвидните в СП условия за допустимост с някои от основните изисквания по част от интервенциите спрямо техните еквиваленти от ПРСР 2014-2020, при които се наблюдава най-голям интерес през настоящия и предходните програмни периоди, а именно подмерки 4.1 „Инвестиции в земеделски стопанства“ и подмярка 4.2 „Инвестиции в преработката, предлагането на пазара и/или развитието на селскостопански продукти“, както и техните еквиваленти в СП, съответно: ІІ.Г.1 - Инвестиции в земеделските стопанства  и ІІ.Г.2 - Инвестиции за преработка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СП за интервенцията ІІ.Г.1 - Инвестиции в земеделските стопанства, максималният размер на допустимите разходи за един кандидат и проект за периода на прилагане на интервенцията 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„малко земеделско стопанство“ (над 8 000 до 30 000 евро СПО) е до 250 000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„средно земеделско стопанство“ (над 30 000 до 170 000 евро СПО) е до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„голямо земеделско стопанство“ (над 170 000 евро СПО) е до 750 000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действащите 1756 договора по подмярка 4.1. „Инвестиции в земеделските стопанства“, за 938 са предоставени данни за размера на стопанствата, измерен в стандартен производствен обем (СПО). За целите на анализа са обособени няколко групи проекти, според СПО и съответно размера на одобреите разходи. Анализът не включва проектните предложени, които са подадени в рамките на нарочния прием в сектор „Животновъдство“, проведен през 2020 г., като и такива, които се отнасят единствени към земеделска техника, тъй като максималният размер на допустимите разходи за този тип инвестиции е първоначално ограничен и това би изкривило резултатите.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приспадане на тези проекти са анализирани 429 броя проектни предложения (ПП), като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- 182 броя са стопанства с размер до 30 000 евро СПО, което отговаря на определението за „малко стопанство“ от СП. По така зададените условия на СП този тип стопанства следва да се подпомагат за инвестиции до 250 000 евро за един проект. Анализът показва, че в настоящия програмен период едва 15% от подадените и одобрени ПП са с инвестиции до посочения размер, а останалите  85% са такива, които са предложили инвестиции над определения в СП праг. Всчики анализирани ПП са изпълнени успешно и разходите по тях са разплатени.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- 97 броя са стопанства с размер от 30 000 до 170 000 евро СПО, което отговаря на определението за „средно стопанство“ от СП. По така зададените условия на СП този тип стопанства следва да се подпомагат за инвестиции до 500 000 евро за един проект. Анализът показва, че в настоящия програмен период 43% от подадените ПП са с инвестиции до посочения размер, а останалите  57% са такива, които са предложили инвестиции над определения в СП праг. Всчики анализирани ПП са изпълнени успешно и разходите по тях са разплатени.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- 149 броя са стопанства с размер над 170 000 евро СПО, което отговаря на определението за „голямо стопанство“ от СП. По така зададените условия на СП този тип стопанства следва да се подпомагат за инвестиции до 750 000 евро за един проект. Анализът показва, че в настоящия програмен период 47% от подадените ПП са с инвестиции до посочения размер, а останалите  53% са такива, които са предложили инвестиции над определения в СП праг. Всчики анализирани ПП са изпълнени успешно и разходите по тях са разплатени.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показва също, че поставеното разграничение в СП, основаващо се на СПО, което от своя страна определя рамера на допустимите разходи и допустимоста на едно ПП, не обосновава ползите и не допринаса за постигане на резултати. Точно обратното, на база натрупани данни може да се заключи, че такъв тип разграничение не допринася за стимулиране на малките и средни стопанства, а подпомага големите предприятия, които не винаги се нуждаят от финансиране. Такъв тип условия биха ограничили развитието и конкурентноспособността на стопанства със СПО до 170 000 евро (малки и средни, съгласно определението), което не допринася за постигане на основните цели на Общата селскостопанска политика на 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общо анализираните 429 ПП, независимо от размера на стопанството, измерен в СПО, данните показват, че: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- 359 или 84% от тях са с инвестиции с размер над 250 000 до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- 292 или 68% от тях са с инвестиции над 500 000 до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- 228 или 53% от тях са с инвестиции над 750 000 до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Данните показват също, че от посочените 228 проекта с инвестиции над 750 000 евро, 49% (112 бр. ПП) от стопанствата са със СПО до 30 000 евро, 16% (37 бр. ПП) от стопанствата са със СПО от 30 000 евро до 170 000 евро и 34% (79 бр. ПП) от стопанствата са със СПО над 170 000 евро. Изпълняваните инвестиции за проекти над 750 000 евро са основно свързани със строителство, създаване на трайни насаждения и изграждане на оранжерии в чувствителните сектори. От посочените данни може да се направи обоснован извод, че стопанствата с размер на СПО до 30 000 евро са инвестирали и изпълнили индивидуални проекти през програмен период 2014-2020 г., надвишаващи над три пъти определения им финансов ресурс в 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тук следва, че поставените в СП критерии за определяне на размера на допустимите разходи за едно проектно предложение ще ограничат необосновано стопанствата, които имат интерес да инвестират в модернизация и разширяване, чрез изпълнение на по-големи проекти. Поставените ограничения по никакъв начин, в резултат на анализа по-горе, не обосновават наличието на подобни изисквания, предвид тенденцията, че малките и средни стопанства основно са инвестирали в ПП с размер на допустимите разходи, надвишаващ 750 000 евро по данни от успешно приключените проекти в настоящия програмен период.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посочените по-горе резултати, УО на СП следва да обмисли възможността да предложи премахване на ограниченията на ниво допустимост на разходи, свързани с размера на стопанството и същите е по-подходящо да бъдат използвани за критерии за оценка на ПП, където е приложимо, като се гарантира по-висок приоритет за стопанствата с малък и среден размер на СПО, а размерът на допустимите разходи да бъде изравнен за всички категории стопанства. По този начин ще бъде изпълнена целта на ЕС за подпомагане на малките и средни земеделски стопанства, които са основен елемент от селското стопанство на Съюза. Това ще допринесе и за правилното насочване на подпомагането към стопанства, които имат нужда от подпомагане, а не към такива, които биха се справили с реализацията на инвестиционните си намерения със собствен ресурс.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интервенция от СП, обект на анализа е ІІ.Г.2 - Инвестиции за преработка на селскостопански продукти, която е съпоставена с 4.2. „Инвестиции в преработката, предлагането на пазара и/или развитието на селскостопански продукти“, където размерът на одобрените инвестиционни разходи за един проект е съпоставен с предоставените данни за вида на предприятиятието, съгласно Закона за малките и средни предприятия (ЗМСП), а именно: микро, малко, средно и голямо.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СП нивата на подпомагане за преработватели на селскостопански продукти, които са микро, малки, средни или големи предприятия по ЗМСП за интервенция ІІ.Г.2 - Инвестиции за преработка на селскостопански продукти,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размер на допустимите разходи за един кандидат съответстващ на определението за микро или малко предприятие за периода на прилагане на интервенцията и за един проект е до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размер на допустимите разходи за един кандидат съответстващ на определението за средно предприятие за периода на прилагане на интервенцията и за един проект е до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размер на допустимите разходи за един кандидат съответстващ на определението за голямо предприятие за периода на прилагане на интервенцията и за един проект е до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анализа са обособени няколко групи проекти, според вида на предприятието по ЗМСП и съответно размера на одобрените разходи, като от действащите 375 договора: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- 277 броя ПП са подадени от микро и малки предприятия, съгласно ЗМСП. По така зададените условия на СП този тип предприятия следва да се подпомагат за инвестиции до 500 000 евро за един проект. Анализът показва, че в настоящия програмен период 27% от подадените и одобрени ПП са с инвестиции до посочения размер, а останалите  73% са такива, които са предложили инвестиции над определения в СП праг. Над 70% от всчики анализирани ПП от тази група са изпълнени успешно и разходите по тях са разплатени, а останалите са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- 85 броя ПП са подадени от средни предприятия, съгласно ЗМСП. По така зададените условия на СП този тип предприятия следва да се подпомагат за инвестиции до 1 000 000 евро за един проект. Анализът показва, че в настоящия програмен период 54% от подадените и одобрени ПП са с инвестиции до посочения размер, а останалите  46% са такива, които са предложили инвестиции над определения в СП праг. Над 40% от всчики анализирани ПП от тази група са изпълнени успешно и разходите по тях са разплатени, а останалите са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- 13 броя ПП са подадени от големи предприятия, съгласно ЗМСП. По така зададените условия на СП този тип предприятия следва да се подпомагат за инвестиции до 1 500 000 евро за един проект. Анализът показва, че в настоящия програмен период 69% от подадените и одобрени ПП са с инвестиции до посочения размер, а останалите  31% са такива, които са предложили инвестиции над определения в СП праг, като 18% от всчики анализирани ПП от тази група са изпълнени успешно и разходите по тях са разплатени, а останалите са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показва, че поставеното разграничение в СП, основаващо се на вида на предприятиятието, съгласно ЗМСП, което от своя страна определя рамера на допустимите разходи и допустимоста на едно ПП, не обосновава ползите и не допринаса за постигане на резултати. Точно обратното, на база натрупани данни може да се заключи, че такъв тип разграничение не допринася за стимулиране на микро, малките и средни предприятия, а подпомага големите предприятия, които не винаги се нуждаят от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общо анализираните 375 ПП, независимо от размера на предприятието, съгласно ЗМСП, данните показват, че: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- 282 или 75% от тях са с инвестиции с размер над 500 000 до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- 198 или 53% от тях са с инвестиции над 1 000 000 до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- 142 или 38% от тях са с инвестиции над 1 500 000 до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броят на ПП може да бъде разпределен и по отделни групи разходи,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с размер до 500 000 евро – 93 бр. ПП или 25%;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с размер над 500 000 до 1 000 000 евро – 84 бр. ПП или 22%;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с размер над 1 000 000 до 1 500 000 евро – 56 бр. ПП или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с размер над 1 500 000 евро – 142 бр. ПП или 38%;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Резултатите показват, че най-голям интерес има в проекти с инвестиции, надхвърлящи максимално определените инвестиционни разходи за едно ПП в СП по интервенция ІІ.Г.2 - Инвестиции за преработка на селскостопански продукти, а именно с инвестиционни разходи над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Данните показват също, че от посочените 142 проекта с инвестиции над 1 500 000 евро, 77% (110 бр. ПП) са микро и малки предприятия, 20% (28 бр. ПП) са средните предприятия и 3% (4 бр. ПП) са големите предприятия. Изпълняваните инвестиции за проекти над 1 500 000 евро са основно свързани с изграждане на нови, разширяване и модернизиране на съществуващи преработвателни предприятия, докато ПП с инвестиции до 500 000 евро се отнасят предимно до изграждане на мобилни преработвателни предприятия, както и до закупуването на оборудване за модернизиране на вече съществуващи.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посочените данни може да се направи обоснован извод, че микро и малките предприятия са изпълнили индивидуални проекти през програмен период 2014-2020 г., с инвестиции, надвишаващи над пет пъти определения им финансов ресурс в 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тук следва, че поставените в СП критерии за определяне на размера на допустимите разходи за едно проектно предложение ще ограничат необосновано микро и малките предприятия, по смисъла на ЗМСП, които имат интерес да инвестират в изграждане на нови преработвателни мощности, с цел добавяне на стойност към селскостопански продукти и постигане на интеграция между земеделския и преработвателния сектор. Поставените ограничения по никакъв начин, в резултат на анализа по-горе, не обосновават наличието на подобни изисквания, предвид тенденцията, че основно микро и малките предприятия предимно са инвестирали в ПП с размер на допустимите разходи, надвишаващ 1 500 000 евро по данни от успешно приключените проекти в настоящия програмен период. Такъв тип условия биха ограничили развитието и конкурентноспособността на МСП, което не допринася за постигане на основните цели на Общата селскостопанска политика на 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посочените по-горе резултати, УО на СП следва да обмисли възможността да предложи премахване на ограниченията на ниво допустимост на разходи, свързани с вида на предприятието, съгласно ЗМСП, и същите следва да бъдат използвани за критерии за оценка на ПП, като се гарантира по-висок приоритет за микро и малките предприятия, а размерът на допустимите разходи да бъде изравен за всички категории предприятия. По този начин ще бъде изпълнена целта на ЕС за подпомагане на микро и малките предпирятия,  както и интеграцията между земеделските стопани и предприятията от хранително-вкусовата промишленост. Това ще допринесе и за правилното насочване на подпомагането към МСП, съгласно ЗМСП, които имат нужда от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Посоченото по-горе, може да послужи на УО на СП за стартиране на разговори с ЕК за преразглеждане на СП, като преди това следва да се извърши анализ и на останалите интервенции на база исторически данни от предходни програмни периоди. УО следва да набави всички специфични данни за извършване на исторически анализ на еквивалентни интервенции в СП. В резултат на изивършените анализи и събиране на достатъчна информация могат да бъдат елиминирани и други ограничения, налични в интервенциите по ОСП за програмния период 2023-2027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Към глава 10 - Изпълнение на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Гаранционна схема в подкрепа на бенефициенти по Програма за развитие на селските райони 2014 – 2020 г.  и предприятия от сектор „Растениевъдство“ и „Животновъдство“ към 31.12.2019 г. и текущо състояние на гаранционната схема в подкрепа на бенефициенти по Програма за развитие на селските райони 2007 – 2013 г.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по съвместната гаранционна програма на НГФ с МЗм са гарантирани 142 броя кредити в общ размер на кредитите 15,65 млн. евро, като издадените гаранции по тях са в размер на 7,82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са действащи споразумения с 6 от банките в страната - Банка ДСК ЕАД, Българо-американска кредитна банка АД, Българска банка за развитие АД, Първа Инвестиционна Банка АД, УниКредит Булбанк АД и Юробанк България АД.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Банка ДСК АД са издадени 117 броя гаранции в размер на 4,61 млн. евро по кредити в размер на 9,21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„Юробанк България“ АД са издадени 5 броя гаранции в размер на 1,41 млн. евро по кредити 2,83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„УниКредит Булбанк“ АД са издадени 9 броя гаранции в размер на 0,78 млн. евро по кредити в размер на  1,55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„Българо-американска кредитна банка“ АД са издадени 9 броя гаранции в размер на 0,58 млн. евро по кредити в размер на 1,16 млн. евро, а през „Българска банка за развитие“ АД и „Първа Инвестиционна Банка“ АД са издадени по 1 брой гаранции на обща стойност 0,45 млн. евро по кредити в размер на 0,89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гарантираните кредити през годината 104 броя са инвестиционни кредити в размер на 11,00 млн. евро и гарантиран размер 5,50 млн. евро, следвани от 37 броя кредити за оборотни средства в размер на 4,56 млн. евро и гарантиран размер – 2,28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Има гарантирана и 1 брой банкова гаранция в размер на 0,09 млн. евро и гарантиран размер 0,04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31.12.2022 г. сумата на всички издадени от НГФ ЕАД гаранции е 158,74 млн. евро, вкл. приключили ангажименти в размер на 147,32 млн. евро по погасени кредити (изцяло и частично) и 1,82 млн. евро по платени гаранции.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Действащият към 31.12.2022 г. гаранционен ангажимент е в размер на 9,60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Оценителният екип обръща внимание на факта, че в резултат на кратък съпоставителен анализ на данните, посочени в т. 10 към този доклад и тези, описани по-горе, прави впечатление, че НГФ ЕАД се справя значително по-добре при управлението на финансовите инструменти от ФМФИБ ЕАД. От предоставената от ФМФИБ ЕАД информация, прави впечатление, че към 31.12.2022 г. е използван ресурс в размер на малко над 10% или 0,985 млн. евро. Данните сочат също, че съгласно инвестиционната стратегия към Финансовото споразумение за края на 2023 г. е поставена цел от 20 млн. евро по показател „общ размер на допустимите разходи по ПРСР“, което следва да осигури финансов ресурс за 130 крайни получатели/предприятия. Данните предоставени от ФМФИБ ЕАД показват, че към 31.12.2022 г. са постигнати едва 6% по показател „общ размер на допустимите разходи по ПРСР“ като от инструмента са се възползвали 3 крайни получатели. Следва да се отбележи, че към показателя на средства се включва и усвоена такса управление от ФМФИБ. Необходимо е да се положат допълнителни усилия за популяризирането на възможностите, предоставени от финансовите инструменти, с оглед гарантиране на необходимото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бъдат извършени анализи, с цел установяване на ефективността, ефикасността и необходимостта от наличието на две финансови институции, които да управляват финансовите инструменти, предвид, че едната показва значително по-добри резултати от другата.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извършените анализи е възможно да се преразгледат видовете финансови инструменти, които се предоставят със средства от ЕЗФРСР. Данните показват, че интересът към гаранционните схеми е значително по-висок спрямо предоставянето на кредити. Също така, прави впечатление, че по данни, публикувани на официалната страница на НГФ ЕАД**, в началото на прилагането на гаранционните схеми, гаранцията е покривала до 80% от кредитите, отпускани от търговските банки, а към настоящия момент покритието е до 50%***. Да се обмисли възможността, с оглед увеличаване привлекателността на гаранционните схеми, за подобряване на условията на финансовите инструменти, включително и чрез извършване на необходимите зоконодателни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полза за бенефициентите по ПРСР е осигуряване на достъп до финансиране, тъй като голяма част от кредитите е нямало да бъдат отпуснати без подкрепата на гаранционните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**https://www.ngf.bg/bg/garancionni-shemi/priklyuchili-garancionni-shemi/garancii-po-proekti-v-sektor-zemedelie/</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***https://www.ngf.bg/bg/garancionni-shemi/garancionna-shema-s-mzh/</w:t>
            </w:r>
          </w:p>
          <w:p>
            <w:pPr>
              <w:pStyle w:val="BodyText"/>
              <w:jc w:val="both"/>
            </w:pPr>
          </w:p>
        </w:tc>
      </w:tr>
    </w:tbl>
    <w:p>
      <w:pPr>
        <w:pStyle w:val="Heading2"/>
      </w:pPr>
      <w:bookmarkStart w:id="19" w:name="_Toc256000019"/>
      <w:r>
        <w:t>Качество и ефикасност на механизмите за изпълнение</w:t>
      </w:r>
      <w:bookmarkEnd w:id="19"/>
    </w:p>
    <w:p>
      <w:r>
        <w:rPr>
          <w:rFonts w:ascii="Times New Roman" w:eastAsia="Times New Roman" w:hAnsi="Times New Roman" w:cs="Times New Roman"/>
          <w:szCs w:val="24"/>
        </w:rPr>
        <w:t xml:space="preserve">Опростени варианти за разходите (ОВР) </w:t>
      </w:r>
      <w:r>
        <w:rPr>
          <w:rFonts w:ascii="Times New Roman" w:eastAsia="Times New Roman" w:hAnsi="Times New Roman" w:cs="Times New Roman"/>
          <w:sz w:val="30"/>
          <w:szCs w:val="30"/>
          <w:vertAlign w:val="superscript"/>
        </w:rPr>
        <w:t>1</w:t>
      </w:r>
      <w:r>
        <w:rPr>
          <w:rFonts w:ascii="Times New Roman" w:eastAsia="Times New Roman" w:hAnsi="Times New Roman" w:cs="Times New Roman"/>
          <w:szCs w:val="24"/>
        </w:rPr>
        <w:t>, косвен показател, изчислен автоматично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642"/>
        <w:gridCol w:w="2642"/>
        <w:gridCol w:w="2642"/>
        <w:gridCol w:w="264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12000" w:type="dxa"/>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Cs w:val="24"/>
              </w:rPr>
              <w:t>            </w:t>
            </w:r>
          </w:p>
        </w:tc>
        <w:tc>
          <w:tcPr>
            <w:tcW w:w="12000" w:type="dxa"/>
            <w:shd w:val="clear" w:color="auto" w:fill="C0C0C0"/>
            <w:noWrap w:val="0"/>
            <w:tcMar>
              <w:top w:w="20" w:type="dxa"/>
              <w:left w:w="20" w:type="dxa"/>
              <w:bottom w:w="20" w:type="dxa"/>
            </w:tcMar>
            <w:vAlign w:val="center"/>
          </w:tcPr>
          <w:p>
            <w:pPr>
              <w:jc w:val="center"/>
              <w:rPr>
                <w:b w:val="0"/>
                <w:sz w:val="16"/>
              </w:rPr>
            </w:pPr>
            <w:r>
              <w:rPr>
                <w:b w:val="0"/>
                <w:sz w:val="16"/>
              </w:rPr>
              <w:t>Общ размер на разпределените финансови средства по ПРСР [ЕЗФРСР+ EURI]</w:t>
            </w:r>
          </w:p>
        </w:tc>
        <w:tc>
          <w:tcPr>
            <w:tcW w:w="12000" w:type="dxa"/>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 w:val="17"/>
                <w:szCs w:val="17"/>
              </w:rPr>
              <w:t>[%] на планираното покритие на ОВР от общите отпуснати средства за ПРСР</w:t>
            </w:r>
            <w:r>
              <w:rPr>
                <w:rFonts w:ascii="Times New Roman" w:eastAsia="Times New Roman" w:hAnsi="Times New Roman" w:cs="Times New Roman"/>
                <w:sz w:val="21"/>
                <w:szCs w:val="21"/>
                <w:vertAlign w:val="superscript"/>
              </w:rPr>
              <w:t>2</w:t>
            </w:r>
          </w:p>
        </w:tc>
        <w:tc>
          <w:tcPr>
            <w:tcW w:w="12000" w:type="dxa"/>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 w:val="17"/>
                <w:szCs w:val="17"/>
              </w:rPr>
              <w:t>[%] на реализираните разходи посредством ОВР от общите отпуснати средства за ПРСР (кумулативни данни)</w:t>
            </w:r>
            <w:r>
              <w:rPr>
                <w:rFonts w:ascii="Times New Roman" w:eastAsia="Times New Roman" w:hAnsi="Times New Roman" w:cs="Times New Roman"/>
                <w:sz w:val="21"/>
                <w:szCs w:val="21"/>
                <w:vertAlign w:val="superscript"/>
              </w:rPr>
              <w:t>3</w:t>
            </w:r>
          </w:p>
        </w:tc>
      </w:tr>
      <w:tr>
        <w:tblPrEx>
          <w:tblW w:w="5000" w:type="pct"/>
          <w:tblCellMar>
            <w:left w:w="108" w:type="dxa"/>
            <w:right w:w="108" w:type="dxa"/>
          </w:tblCellMar>
        </w:tblPrEx>
        <w:trPr>
          <w:trHeight w:hRule="auto" w:val="0"/>
        </w:trPr>
        <w:tc>
          <w:tcPr>
            <w:tcW w:w="1250" w:type="pct"/>
            <w:shd w:val="clear" w:color="auto" w:fill="FFFFFF"/>
            <w:noWrap w:val="0"/>
            <w:tcMar>
              <w:top w:w="20" w:type="dxa"/>
              <w:left w:w="20" w:type="dxa"/>
              <w:bottom w:w="20" w:type="dxa"/>
            </w:tcMar>
            <w:vAlign w:val="center"/>
          </w:tcPr>
          <w:p>
            <w:pPr>
              <w:spacing w:before="20" w:after="20"/>
              <w:jc w:val="left"/>
              <w:rPr>
                <w:b w:val="0"/>
                <w:sz w:val="16"/>
              </w:rPr>
            </w:pPr>
            <w:r>
              <w:rPr>
                <w:b w:val="0"/>
                <w:sz w:val="16"/>
              </w:rPr>
              <w:t>Специфични за фондовете методи, член 67, параграф 5, буква д) от РОР</w:t>
            </w:r>
          </w:p>
        </w:tc>
        <w:tc>
          <w:tcPr>
            <w:tcW w:w="1250" w:type="pct"/>
            <w:shd w:val="clear" w:color="auto" w:fill="FFFFFF"/>
            <w:noWrap w:val="0"/>
            <w:tcMar>
              <w:top w:w="20" w:type="dxa"/>
              <w:left w:w="20" w:type="dxa"/>
              <w:bottom w:w="20" w:type="dxa"/>
            </w:tcMar>
            <w:vAlign w:val="center"/>
          </w:tcPr>
          <w:p>
            <w:pPr>
              <w:spacing w:before="20" w:after="20"/>
              <w:jc w:val="right"/>
              <w:rPr>
                <w:b w:val="0"/>
                <w:sz w:val="16"/>
              </w:rPr>
            </w:pPr>
            <w:r>
              <w:rPr>
                <w:b w:val="0"/>
                <w:sz w:val="16"/>
              </w:rPr>
              <w:t>3 129 044 775,00</w:t>
            </w:r>
          </w:p>
        </w:tc>
        <w:tc>
          <w:tcPr>
            <w:tcW w:w="1250" w:type="pct"/>
            <w:shd w:val="clear" w:color="auto" w:fill="FFFFFF"/>
            <w:noWrap w:val="0"/>
            <w:tcMar>
              <w:top w:w="20" w:type="dxa"/>
              <w:left w:w="20" w:type="dxa"/>
              <w:bottom w:w="20" w:type="dxa"/>
            </w:tcMar>
            <w:vAlign w:val="center"/>
          </w:tcPr>
          <w:p>
            <w:pPr>
              <w:spacing w:before="20" w:after="20"/>
              <w:jc w:val="right"/>
              <w:rPr>
                <w:b w:val="0"/>
                <w:sz w:val="16"/>
              </w:rPr>
            </w:pPr>
            <w:r>
              <w:rPr>
                <w:b w:val="0"/>
                <w:sz w:val="16"/>
              </w:rPr>
              <w:t>35,34</w:t>
            </w:r>
          </w:p>
        </w:tc>
        <w:tc>
          <w:tcPr>
            <w:tcW w:w="1250" w:type="pct"/>
            <w:shd w:val="clear" w:color="auto" w:fill="FFFFFF"/>
            <w:noWrap w:val="0"/>
            <w:tcMar>
              <w:top w:w="20" w:type="dxa"/>
              <w:left w:w="20" w:type="dxa"/>
              <w:bottom w:w="20" w:type="dxa"/>
            </w:tcMar>
            <w:vAlign w:val="center"/>
          </w:tcPr>
          <w:p>
            <w:pPr>
              <w:spacing w:before="20" w:after="20"/>
              <w:jc w:val="right"/>
              <w:rPr>
                <w:b w:val="0"/>
                <w:sz w:val="16"/>
              </w:rPr>
            </w:pPr>
            <w:r>
              <w:rPr>
                <w:b w:val="0"/>
                <w:sz w:val="16"/>
              </w:rPr>
              <w:t>27,79</w:t>
            </w:r>
          </w:p>
        </w:tc>
      </w:tr>
    </w:tbl>
    <w:p>
      <w:r>
        <w:rPr>
          <w:rFonts w:ascii="Times New Roman" w:eastAsia="Times New Roman" w:hAnsi="Times New Roman" w:cs="Times New Roman"/>
          <w:sz w:val="21"/>
          <w:szCs w:val="21"/>
          <w:vertAlign w:val="superscript"/>
        </w:rPr>
        <w:t>1</w:t>
      </w:r>
      <w:r>
        <w:rPr>
          <w:rFonts w:ascii="Times New Roman" w:eastAsia="Times New Roman" w:hAnsi="Times New Roman" w:cs="Times New Roman"/>
          <w:sz w:val="17"/>
          <w:szCs w:val="17"/>
        </w:rPr>
        <w:t xml:space="preserve"> Опростените варианти за разходите представляват единични разходи/единни ставки/еднократни суми по член 67, параграф 5 от РОР, включително специфичните методи за ЕЗФРСР, предвидени в буква д) от същия член, като например еднократните суми за започване на дейност, плащанията с единни ставки към организации на производители и единични разходи, свързани с площта и животните.</w:t>
      </w:r>
    </w:p>
    <w:p>
      <w:r>
        <w:rPr>
          <w:rFonts w:ascii="Times New Roman" w:eastAsia="Times New Roman" w:hAnsi="Times New Roman" w:cs="Times New Roman"/>
          <w:sz w:val="21"/>
          <w:szCs w:val="21"/>
          <w:vertAlign w:val="superscript"/>
        </w:rPr>
        <w:t>2</w:t>
      </w:r>
      <w:r>
        <w:rPr>
          <w:rFonts w:ascii="Times New Roman" w:eastAsia="Times New Roman" w:hAnsi="Times New Roman" w:cs="Times New Roman"/>
          <w:sz w:val="17"/>
          <w:szCs w:val="17"/>
        </w:rPr>
        <w:t xml:space="preserve"> Автоматично изчислени от мерки 06, 09, 10, 11, 12, 13, 14, 15, 18 на версията на програмата</w:t>
      </w:r>
    </w:p>
    <w:p>
      <w:r>
        <w:rPr>
          <w:rFonts w:ascii="Times New Roman" w:eastAsia="Times New Roman" w:hAnsi="Times New Roman" w:cs="Times New Roman"/>
          <w:sz w:val="21"/>
          <w:szCs w:val="21"/>
          <w:vertAlign w:val="superscript"/>
        </w:rPr>
        <w:t>3</w:t>
      </w:r>
      <w:r>
        <w:rPr>
          <w:rFonts w:ascii="Times New Roman" w:eastAsia="Times New Roman" w:hAnsi="Times New Roman" w:cs="Times New Roman"/>
          <w:sz w:val="17"/>
          <w:szCs w:val="17"/>
        </w:rPr>
        <w:t xml:space="preserve"> Автоматично изчислен от декларациите за разходи по мерки 106, 09, 10, 11, 12, 13, 14, 15, 18</w:t>
      </w:r>
    </w:p>
    <w:p>
      <w:r>
        <w:rPr>
          <w:rFonts w:ascii="Times New Roman" w:eastAsia="Times New Roman" w:hAnsi="Times New Roman" w:cs="Times New Roman"/>
          <w:szCs w:val="24"/>
        </w:rPr>
        <w:t>Опростени варианти за разходите (ОВР), въз основа на специфични подробни данни от държавите членки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642"/>
        <w:gridCol w:w="2642"/>
        <w:gridCol w:w="2642"/>
        <w:gridCol w:w="264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1250" w:type="pct"/>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Cs w:val="24"/>
              </w:rPr>
              <w:t>            </w:t>
            </w:r>
          </w:p>
        </w:tc>
        <w:tc>
          <w:tcPr>
            <w:tcW w:w="1250" w:type="pct"/>
            <w:shd w:val="clear" w:color="auto" w:fill="C0C0C0"/>
            <w:noWrap w:val="0"/>
            <w:tcMar>
              <w:top w:w="20" w:type="dxa"/>
              <w:left w:w="20" w:type="dxa"/>
              <w:bottom w:w="20" w:type="dxa"/>
            </w:tcMar>
            <w:vAlign w:val="center"/>
          </w:tcPr>
          <w:p>
            <w:pPr>
              <w:jc w:val="center"/>
              <w:rPr>
                <w:b w:val="0"/>
                <w:sz w:val="16"/>
              </w:rPr>
            </w:pPr>
            <w:r>
              <w:rPr>
                <w:b w:val="0"/>
                <w:sz w:val="16"/>
              </w:rPr>
              <w:t>Общ размер на разпределените финансови средства по ПРСР [ЕЗФРСР+ EURI]</w:t>
            </w:r>
          </w:p>
        </w:tc>
        <w:tc>
          <w:tcPr>
            <w:tcW w:w="1250" w:type="pct"/>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 w:val="17"/>
                <w:szCs w:val="17"/>
              </w:rPr>
              <w:t>[%] на планираното покритие на ОВР от общите отпуснати средства за ПРСР</w:t>
            </w:r>
          </w:p>
        </w:tc>
        <w:tc>
          <w:tcPr>
            <w:tcW w:w="1250" w:type="pct"/>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 w:val="17"/>
                <w:szCs w:val="17"/>
              </w:rPr>
              <w:t>[%] на реализираните разходи посредством ОВР от общите отпуснати средства за ПРСР (кумулативни данни)</w:t>
            </w:r>
          </w:p>
        </w:tc>
      </w:tr>
      <w:tr>
        <w:tblPrEx>
          <w:tblW w:w="5000" w:type="pct"/>
          <w:tblCellMar>
            <w:left w:w="108" w:type="dxa"/>
            <w:right w:w="108" w:type="dxa"/>
          </w:tblCellMar>
        </w:tblPrEx>
        <w:trPr>
          <w:trHeight w:hRule="auto" w:val="0"/>
        </w:trPr>
        <w:tc>
          <w:tcPr>
            <w:tcW w:w="1250" w:type="pct"/>
            <w:shd w:val="clear" w:color="auto" w:fill="FFFFFF"/>
            <w:noWrap w:val="0"/>
            <w:tcMar>
              <w:top w:w="20" w:type="dxa"/>
              <w:left w:w="20" w:type="dxa"/>
              <w:bottom w:w="20" w:type="dxa"/>
            </w:tcMar>
            <w:vAlign w:val="center"/>
          </w:tcPr>
          <w:p>
            <w:pPr>
              <w:spacing w:before="20" w:after="20"/>
              <w:jc w:val="left"/>
              <w:rPr>
                <w:b w:val="0"/>
                <w:sz w:val="16"/>
              </w:rPr>
            </w:pPr>
            <w:r>
              <w:rPr>
                <w:b w:val="0"/>
                <w:sz w:val="16"/>
              </w:rPr>
              <w:t>Общо по силата на член 67, параграф 1, буква б), в) и г) + член 67, параграф 5, буква д) от РОР</w:t>
            </w:r>
          </w:p>
        </w:tc>
        <w:tc>
          <w:tcPr>
            <w:tcW w:w="1250" w:type="pct"/>
            <w:shd w:val="clear" w:color="auto" w:fill="FFFFFF"/>
            <w:noWrap w:val="0"/>
            <w:tcMar>
              <w:top w:w="20" w:type="dxa"/>
              <w:left w:w="20" w:type="dxa"/>
              <w:bottom w:w="20" w:type="dxa"/>
            </w:tcMar>
            <w:vAlign w:val="center"/>
          </w:tcPr>
          <w:p>
            <w:pPr>
              <w:spacing w:before="20" w:after="20"/>
              <w:jc w:val="right"/>
              <w:rPr>
                <w:b w:val="0"/>
                <w:sz w:val="16"/>
              </w:rPr>
            </w:pPr>
            <w:r>
              <w:rPr>
                <w:b w:val="0"/>
                <w:sz w:val="16"/>
              </w:rPr>
              <w:t>3 129 044 775,00</w:t>
            </w: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r>
      <w:tr>
        <w:tblPrEx>
          <w:tblW w:w="5000" w:type="pct"/>
          <w:tblCellMar>
            <w:left w:w="108" w:type="dxa"/>
            <w:right w:w="108" w:type="dxa"/>
          </w:tblCellMar>
        </w:tblPrEx>
        <w:trPr>
          <w:trHeight w:hRule="auto" w:val="0"/>
        </w:trPr>
        <w:tc>
          <w:tcPr>
            <w:tcW w:w="1250" w:type="pct"/>
            <w:shd w:val="clear" w:color="auto" w:fill="FFFFFF"/>
            <w:noWrap w:val="0"/>
            <w:tcMar>
              <w:top w:w="20" w:type="dxa"/>
              <w:left w:w="20" w:type="dxa"/>
              <w:bottom w:w="20" w:type="dxa"/>
            </w:tcMar>
            <w:vAlign w:val="center"/>
          </w:tcPr>
          <w:p>
            <w:pPr>
              <w:spacing w:before="20" w:after="20"/>
              <w:jc w:val="left"/>
              <w:rPr>
                <w:b w:val="0"/>
                <w:sz w:val="16"/>
              </w:rPr>
            </w:pPr>
            <w:r>
              <w:rPr>
                <w:b w:val="0"/>
                <w:sz w:val="16"/>
              </w:rPr>
              <w:t>Специфични за фондовете методи, член 67, параграф 5, буква д) от РОР</w:t>
            </w:r>
          </w:p>
        </w:tc>
        <w:tc>
          <w:tcPr>
            <w:tcW w:w="1250" w:type="pct"/>
            <w:shd w:val="clear" w:color="auto" w:fill="FFFFFF"/>
            <w:noWrap w:val="0"/>
            <w:tcMar>
              <w:top w:w="20" w:type="dxa"/>
              <w:left w:w="20" w:type="dxa"/>
              <w:bottom w:w="20" w:type="dxa"/>
            </w:tcMar>
            <w:vAlign w:val="center"/>
          </w:tcPr>
          <w:p>
            <w:pPr>
              <w:spacing w:before="20" w:after="20"/>
              <w:jc w:val="right"/>
              <w:rPr>
                <w:b w:val="0"/>
                <w:sz w:val="16"/>
              </w:rPr>
            </w:pPr>
            <w:r>
              <w:rPr>
                <w:b w:val="0"/>
                <w:sz w:val="16"/>
              </w:rPr>
              <w:t>3 129 044 775,00</w:t>
            </w: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r>
    </w:tbl>
    <w:p>
      <w:r>
        <w:t>Електронно управление за бенефициерите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23"/>
        <w:gridCol w:w="3523"/>
        <w:gridCol w:w="352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1250" w:type="pct"/>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Cs w:val="24"/>
              </w:rPr>
              <w:t>            </w:t>
            </w:r>
          </w:p>
        </w:tc>
        <w:tc>
          <w:tcPr>
            <w:tcW w:w="1250" w:type="pct"/>
            <w:shd w:val="clear" w:color="auto" w:fill="C0C0C0"/>
            <w:noWrap w:val="0"/>
            <w:tcMar>
              <w:top w:w="20" w:type="dxa"/>
              <w:left w:w="20" w:type="dxa"/>
              <w:bottom w:w="20" w:type="dxa"/>
            </w:tcMar>
            <w:vAlign w:val="center"/>
          </w:tcPr>
          <w:p>
            <w:pPr>
              <w:jc w:val="center"/>
              <w:rPr>
                <w:b w:val="0"/>
                <w:sz w:val="16"/>
              </w:rPr>
            </w:pPr>
            <w:r>
              <w:rPr>
                <w:b w:val="0"/>
                <w:sz w:val="16"/>
              </w:rPr>
              <w:t>[%] финансиране от ЕЗФРСР + EURI</w:t>
            </w:r>
          </w:p>
        </w:tc>
        <w:tc>
          <w:tcPr>
            <w:tcW w:w="1250" w:type="pct"/>
            <w:shd w:val="clear" w:color="auto" w:fill="C0C0C0"/>
            <w:noWrap w:val="0"/>
            <w:tcMar>
              <w:top w:w="20" w:type="dxa"/>
              <w:left w:w="20" w:type="dxa"/>
              <w:bottom w:w="20" w:type="dxa"/>
            </w:tcMar>
            <w:vAlign w:val="center"/>
          </w:tcPr>
          <w:p>
            <w:pPr>
              <w:jc w:val="center"/>
              <w:rPr>
                <w:b w:val="0"/>
                <w:sz w:val="16"/>
              </w:rPr>
            </w:pPr>
            <w:r>
              <w:rPr>
                <w:b w:val="0"/>
                <w:sz w:val="16"/>
              </w:rPr>
              <w:t xml:space="preserve">[%] Съответни операции </w:t>
            </w:r>
          </w:p>
        </w:tc>
      </w:tr>
      <w:tr>
        <w:tblPrEx>
          <w:tblW w:w="5000" w:type="pct"/>
          <w:tblCellMar>
            <w:left w:w="108" w:type="dxa"/>
            <w:right w:w="108" w:type="dxa"/>
          </w:tblCellMar>
        </w:tblPrEx>
        <w:trPr>
          <w:trHeight w:hRule="auto" w:val="0"/>
        </w:trPr>
        <w:tc>
          <w:tcPr>
            <w:tcW w:w="1250" w:type="pct"/>
            <w:shd w:val="clear" w:color="auto" w:fill="FFFFFF"/>
            <w:noWrap w:val="0"/>
            <w:tcMar>
              <w:top w:w="20" w:type="dxa"/>
              <w:left w:w="20" w:type="dxa"/>
              <w:bottom w:w="20" w:type="dxa"/>
            </w:tcMar>
            <w:vAlign w:val="center"/>
          </w:tcPr>
          <w:p>
            <w:pPr>
              <w:spacing w:before="20" w:after="20"/>
              <w:jc w:val="left"/>
              <w:rPr>
                <w:b w:val="0"/>
                <w:sz w:val="16"/>
              </w:rPr>
            </w:pPr>
            <w:r>
              <w:rPr>
                <w:b w:val="0"/>
                <w:sz w:val="16"/>
              </w:rPr>
              <w:t>Заявление за подпомагане</w:t>
            </w: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r>
      <w:tr>
        <w:tblPrEx>
          <w:tblW w:w="5000" w:type="pct"/>
          <w:tblCellMar>
            <w:left w:w="108" w:type="dxa"/>
            <w:right w:w="108" w:type="dxa"/>
          </w:tblCellMar>
        </w:tblPrEx>
        <w:trPr>
          <w:trHeight w:hRule="auto" w:val="0"/>
        </w:trPr>
        <w:tc>
          <w:tcPr>
            <w:tcW w:w="1250" w:type="pct"/>
            <w:shd w:val="clear" w:color="auto" w:fill="FFFFFF"/>
            <w:noWrap w:val="0"/>
            <w:tcMar>
              <w:top w:w="20" w:type="dxa"/>
              <w:left w:w="20" w:type="dxa"/>
              <w:bottom w:w="20" w:type="dxa"/>
            </w:tcMar>
            <w:vAlign w:val="center"/>
          </w:tcPr>
          <w:p>
            <w:pPr>
              <w:spacing w:before="20" w:after="20"/>
              <w:jc w:val="left"/>
              <w:rPr>
                <w:b w:val="0"/>
                <w:sz w:val="16"/>
              </w:rPr>
            </w:pPr>
            <w:r>
              <w:rPr>
                <w:b w:val="0"/>
                <w:sz w:val="16"/>
              </w:rPr>
              <w:t>Искания за плащане</w:t>
            </w: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r>
      <w:tr>
        <w:tblPrEx>
          <w:tblW w:w="5000" w:type="pct"/>
          <w:tblCellMar>
            <w:left w:w="108" w:type="dxa"/>
            <w:right w:w="108" w:type="dxa"/>
          </w:tblCellMar>
        </w:tblPrEx>
        <w:trPr>
          <w:trHeight w:hRule="auto" w:val="0"/>
        </w:trPr>
        <w:tc>
          <w:tcPr>
            <w:tcW w:w="1250" w:type="pct"/>
            <w:shd w:val="clear" w:color="auto" w:fill="FFFFFF"/>
            <w:noWrap w:val="0"/>
            <w:tcMar>
              <w:top w:w="20" w:type="dxa"/>
              <w:left w:w="20" w:type="dxa"/>
              <w:bottom w:w="20" w:type="dxa"/>
            </w:tcMar>
            <w:vAlign w:val="center"/>
          </w:tcPr>
          <w:p>
            <w:pPr>
              <w:spacing w:before="20" w:after="20"/>
              <w:jc w:val="left"/>
              <w:rPr>
                <w:b w:val="0"/>
                <w:sz w:val="16"/>
              </w:rPr>
            </w:pPr>
            <w:r>
              <w:rPr>
                <w:b w:val="0"/>
                <w:sz w:val="16"/>
              </w:rPr>
              <w:t>Контрол и съответствие</w:t>
            </w:r>
          </w:p>
        </w:tc>
        <w:tc>
          <w:tcPr>
            <w:tcW w:w="1250" w:type="pct"/>
            <w:shd w:val="clear" w:color="auto" w:fill="808080"/>
            <w:noWrap w:val="0"/>
            <w:tcMar>
              <w:top w:w="20" w:type="dxa"/>
              <w:left w:w="20" w:type="dxa"/>
              <w:bottom w:w="20" w:type="dxa"/>
            </w:tcMar>
            <w:vAlign w:val="center"/>
          </w:tcPr>
          <w:p>
            <w:pPr>
              <w:spacing w:before="20" w:after="20"/>
              <w:jc w:val="left"/>
              <w:rPr>
                <w:b w:val="0"/>
                <w:sz w:val="16"/>
              </w:rPr>
            </w:pP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r>
      <w:tr>
        <w:tblPrEx>
          <w:tblW w:w="5000" w:type="pct"/>
          <w:tblCellMar>
            <w:left w:w="108" w:type="dxa"/>
            <w:right w:w="108" w:type="dxa"/>
          </w:tblCellMar>
        </w:tblPrEx>
        <w:trPr>
          <w:trHeight w:hRule="auto" w:val="0"/>
        </w:trPr>
        <w:tc>
          <w:tcPr>
            <w:tcW w:w="1250" w:type="pct"/>
            <w:shd w:val="clear" w:color="auto" w:fill="FFFFFF"/>
            <w:noWrap w:val="0"/>
            <w:tcMar>
              <w:top w:w="20" w:type="dxa"/>
              <w:left w:w="20" w:type="dxa"/>
              <w:bottom w:w="20" w:type="dxa"/>
            </w:tcMar>
            <w:vAlign w:val="center"/>
          </w:tcPr>
          <w:p>
            <w:pPr>
              <w:spacing w:before="20" w:after="20"/>
              <w:jc w:val="left"/>
              <w:rPr>
                <w:b w:val="0"/>
                <w:sz w:val="16"/>
              </w:rPr>
            </w:pPr>
            <w:r>
              <w:rPr>
                <w:b w:val="0"/>
                <w:sz w:val="16"/>
              </w:rPr>
              <w:t xml:space="preserve"> Мониторинг и докладване на управителния орган/разплащателната агенция</w:t>
            </w:r>
          </w:p>
        </w:tc>
        <w:tc>
          <w:tcPr>
            <w:tcW w:w="1250" w:type="pct"/>
            <w:shd w:val="clear" w:color="auto" w:fill="808080"/>
            <w:noWrap w:val="0"/>
            <w:tcMar>
              <w:top w:w="20" w:type="dxa"/>
              <w:left w:w="20" w:type="dxa"/>
              <w:bottom w:w="20" w:type="dxa"/>
            </w:tcMar>
            <w:vAlign w:val="center"/>
          </w:tcPr>
          <w:p>
            <w:pPr>
              <w:spacing w:before="20" w:after="20"/>
              <w:jc w:val="left"/>
              <w:rPr>
                <w:b w:val="0"/>
                <w:sz w:val="16"/>
              </w:rPr>
            </w:pPr>
          </w:p>
        </w:tc>
        <w:tc>
          <w:tcPr>
            <w:tcW w:w="1250" w:type="pct"/>
            <w:shd w:val="clear" w:color="auto" w:fill="FFFFFF"/>
            <w:noWrap w:val="0"/>
            <w:tcMar>
              <w:top w:w="20" w:type="dxa"/>
              <w:left w:w="20" w:type="dxa"/>
              <w:bottom w:w="20" w:type="dxa"/>
            </w:tcMar>
            <w:vAlign w:val="center"/>
          </w:tcPr>
          <w:p>
            <w:pPr>
              <w:spacing w:before="20" w:after="20"/>
              <w:jc w:val="left"/>
              <w:rPr>
                <w:b w:val="0"/>
                <w:sz w:val="16"/>
              </w:rPr>
            </w:pPr>
          </w:p>
        </w:tc>
      </w:tr>
    </w:tbl>
    <w:p>
      <w:r>
        <w:t>Среден срок за бенефициерите за получаване на плащания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23"/>
        <w:gridCol w:w="3523"/>
        <w:gridCol w:w="352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1000" w:type="pct"/>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 w:val="17"/>
                <w:szCs w:val="17"/>
              </w:rPr>
              <w:t>[дни]</w:t>
            </w:r>
            <w:r>
              <w:rPr>
                <w:rFonts w:ascii="Times New Roman" w:eastAsia="Times New Roman" w:hAnsi="Times New Roman" w:cs="Times New Roman"/>
                <w:sz w:val="17"/>
                <w:szCs w:val="17"/>
              </w:rPr>
              <w:br/>
            </w:r>
            <w:r>
              <w:rPr>
                <w:rFonts w:ascii="Times New Roman" w:eastAsia="Times New Roman" w:hAnsi="Times New Roman" w:cs="Times New Roman"/>
                <w:sz w:val="17"/>
                <w:szCs w:val="17"/>
              </w:rPr>
              <w:t>Когато е приложимо, крайният срок на държавата членка за плащания към бенефициерите</w:t>
            </w:r>
          </w:p>
        </w:tc>
        <w:tc>
          <w:tcPr>
            <w:tcW w:w="1000" w:type="pct"/>
            <w:shd w:val="clear" w:color="auto" w:fill="C0C0C0"/>
            <w:noWrap w:val="0"/>
            <w:tcMar>
              <w:top w:w="20" w:type="dxa"/>
              <w:left w:w="20" w:type="dxa"/>
              <w:bottom w:w="20" w:type="dxa"/>
            </w:tcMar>
            <w:vAlign w:val="center"/>
          </w:tcPr>
          <w:p>
            <w:pPr>
              <w:jc w:val="center"/>
              <w:rPr>
                <w:b w:val="0"/>
                <w:sz w:val="16"/>
              </w:rPr>
            </w:pPr>
            <w:r>
              <w:rPr>
                <w:rFonts w:ascii="Times New Roman" w:eastAsia="Times New Roman" w:hAnsi="Times New Roman" w:cs="Times New Roman"/>
                <w:sz w:val="17"/>
                <w:szCs w:val="17"/>
              </w:rPr>
              <w:t>[Дни]</w:t>
            </w:r>
            <w:r>
              <w:rPr>
                <w:rFonts w:ascii="Times New Roman" w:eastAsia="Times New Roman" w:hAnsi="Times New Roman" w:cs="Times New Roman"/>
                <w:sz w:val="17"/>
                <w:szCs w:val="17"/>
              </w:rPr>
              <w:br/>
            </w:r>
            <w:r>
              <w:rPr>
                <w:rFonts w:ascii="Times New Roman" w:eastAsia="Times New Roman" w:hAnsi="Times New Roman" w:cs="Times New Roman"/>
                <w:sz w:val="17"/>
                <w:szCs w:val="17"/>
              </w:rPr>
              <w:t>Среден срок на плащанията към бенефициерите</w:t>
            </w:r>
          </w:p>
        </w:tc>
        <w:tc>
          <w:tcPr>
            <w:tcW w:w="3000" w:type="pct"/>
            <w:shd w:val="clear" w:color="auto" w:fill="C0C0C0"/>
            <w:noWrap w:val="0"/>
            <w:tcMar>
              <w:top w:w="20" w:type="dxa"/>
              <w:left w:w="20" w:type="dxa"/>
              <w:bottom w:w="20" w:type="dxa"/>
            </w:tcMar>
            <w:vAlign w:val="center"/>
          </w:tcPr>
          <w:p>
            <w:pPr>
              <w:jc w:val="center"/>
              <w:rPr>
                <w:b w:val="0"/>
                <w:sz w:val="16"/>
              </w:rPr>
            </w:pPr>
            <w:r>
              <w:rPr>
                <w:b w:val="0"/>
                <w:sz w:val="16"/>
              </w:rPr>
              <w:t>Коментари</w:t>
            </w:r>
          </w:p>
        </w:tc>
      </w:tr>
      <w:tr>
        <w:tblPrEx>
          <w:tblW w:w="5000" w:type="pct"/>
          <w:tblCellMar>
            <w:left w:w="108" w:type="dxa"/>
            <w:right w:w="108" w:type="dxa"/>
          </w:tblCellMar>
        </w:tblPrEx>
        <w:trPr>
          <w:trHeight w:hRule="auto" w:val="0"/>
        </w:trPr>
        <w:tc>
          <w:tcPr>
            <w:tcW w:w="1000" w:type="pct"/>
            <w:shd w:val="clear" w:color="auto" w:fill="FFFFFF"/>
            <w:noWrap w:val="0"/>
            <w:tcMar>
              <w:top w:w="20" w:type="dxa"/>
              <w:left w:w="20" w:type="dxa"/>
              <w:bottom w:w="20" w:type="dxa"/>
            </w:tcMar>
            <w:vAlign w:val="center"/>
          </w:tcPr>
          <w:p>
            <w:pPr>
              <w:spacing w:before="20" w:after="20"/>
              <w:jc w:val="left"/>
              <w:rPr>
                <w:b w:val="0"/>
                <w:sz w:val="16"/>
              </w:rPr>
            </w:pPr>
          </w:p>
        </w:tc>
        <w:tc>
          <w:tcPr>
            <w:tcW w:w="1000" w:type="pct"/>
            <w:shd w:val="clear" w:color="auto" w:fill="FFFFFF"/>
            <w:noWrap w:val="0"/>
            <w:tcMar>
              <w:top w:w="20" w:type="dxa"/>
              <w:left w:w="20" w:type="dxa"/>
              <w:bottom w:w="20" w:type="dxa"/>
            </w:tcMar>
            <w:vAlign w:val="center"/>
          </w:tcPr>
          <w:p>
            <w:pPr>
              <w:spacing w:before="20" w:after="20"/>
              <w:jc w:val="left"/>
              <w:rPr>
                <w:b w:val="0"/>
                <w:sz w:val="16"/>
              </w:rPr>
            </w:pPr>
          </w:p>
        </w:tc>
        <w:tc>
          <w:tcPr>
            <w:tcW w:w="3000" w:type="pct"/>
            <w:shd w:val="clear" w:color="auto" w:fill="FFFFFF"/>
            <w:noWrap w:val="0"/>
            <w:tcMar>
              <w:top w:w="20" w:type="dxa"/>
              <w:left w:w="20" w:type="dxa"/>
              <w:bottom w:w="20" w:type="dxa"/>
            </w:tcMar>
            <w:vAlign w:val="center"/>
          </w:tcPr>
          <w:p>
            <w:pPr>
              <w:spacing w:before="20" w:after="20"/>
              <w:jc w:val="left"/>
              <w:rPr>
                <w:b w:val="0"/>
                <w:sz w:val="16"/>
              </w:rPr>
            </w:pPr>
          </w:p>
        </w:tc>
      </w:tr>
    </w:tbl>
    <w:p>
      <w:pPr>
        <w:jc w:val="center"/>
        <w:rPr>
          <w:b w:val="0"/>
          <w:sz w:val="16"/>
        </w:rPr>
        <w:sectPr>
          <w:pgMar w:top="900" w:right="900" w:bottom="900" w:left="900" w:header="720" w:footer="720"/>
          <w:cols w:space="720"/>
        </w:sectPr>
      </w:pPr>
    </w:p>
    <w:p>
      <w:pPr>
        <w:pStyle w:val="Heading1"/>
      </w:pPr>
      <w:bookmarkStart w:id="20" w:name="_Toc256000020"/>
      <w:r>
        <w:t>Стъпки, предприети за прилагане на техническата помощ и изискванията за публичност на програмите</w:t>
      </w:r>
      <w:bookmarkEnd w:id="20"/>
    </w:p>
    <w:p>
      <w:pPr>
        <w:pStyle w:val="Heading2"/>
      </w:pPr>
      <w:bookmarkStart w:id="21" w:name="_Toc256000021"/>
      <w:r>
        <w:t>Предприети действия и актуално състояние по отношение на създаването на НМСР и изпълнението на нейния план за действие</w:t>
      </w:r>
      <w:bookmarkEnd w:id="21"/>
    </w:p>
    <w:p>
      <w:pPr>
        <w:pStyle w:val="Heading3"/>
        <w:jc w:val="left"/>
        <w:rPr>
          <w:b w:val="0"/>
        </w:rPr>
      </w:pPr>
      <w:bookmarkStart w:id="22" w:name="_Toc256000022"/>
      <w:r>
        <w:rPr>
          <w:b w:val="0"/>
        </w:rPr>
        <w:t>Предприети действия и актуално състояние по отношение на създаването на НМСР (структура на управление и звено за подкрепа на мрежата)</w:t>
      </w:r>
      <w:bookmarkEnd w:id="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56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noWrap w:val="0"/>
            <w:tcMar>
              <w:top w:w="20" w:type="dxa"/>
              <w:left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точка 17.3 на ПРСР 2014-2020 г., функциите на Звеното за управление (ЗУ) на НСМ се възлагат от МЗХГ на външен изпълнител, чрез обществена поръчка, при спазване на Закона за обществените поръчки.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проведена обществена поръчка, през април 2018 г., дейностите по администрирането и управлението на НСМ са възложени с договор на обединение „Селска мрежа БГ“ ДЗЗД. Проектът „Поддържане и укрепване на Звеното за управление на Национална селска мрежа на ПРСР 2014-2020 г.”  е за период от четири години и се финансира в рамките на Техническата помощ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проекта приключи на 31.10.2022 г., като на проведената на 17.10.2022 г. финална национална конференция по проекта са представени резултатите от изпълнявания 4-годишен проект, включващи, както ключови препоръки от заинтересованите страни, касаещи ПРСР 2014-2020 и Стратегическия план по ОСП 2023-2027, така и препоръки от ЗУ на НСМ, имащи отношение към бъдещата Мрежа по ОСП.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ключови препоръки към новата Национална мрежа за ОСП (НМ по ОСП), освен нейното навременно стартиране и осигуряване на плавен преход, могат да бъдат посочени: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автоматично членство от НСМ към Националната мрежа по ОСП- категоризиране на членовете за ефективно включване;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надграждане на установеното ефективно взаимодействие между членовете и партньорите на Мрежата, за което е създаден регистър при ЗУ на привлечени експерти и активни организации;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ангажираност на УО в определянето на тематичния фокус в работата на ЗУ, вкл. нуждите от анализи, проучвания и интегрирането им при прилагането на политиката;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по-голяма гъвкавост в проекта на новото ЗУ за адресиране на нови и/или непредвидени обстоятелства;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координацията между МЗм/УО с Мрежата и ЗУ, сътрудничеството по отношение на участниците в AKIS, сътрудничеството между оперативните групи с такива от страните членки, както и предотвратяване на някои застъпвания в работата с МЗм;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изискване за обезпечаване на ЗУ на бъдещата Мрежа по ОСП с достатъчен експертен капацитет във връзка с необходимостта от покриване на нови теми, нови участници и нови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ангажираността от страна на МЗм/УО с Мрежата и ЗУ;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интеграцията на ДФЗ, както и други административни структури в дейността на Мрежата.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126 от Регламент (ЕС) 2021/2115 от 2.12.2021 г.,  държавата членка трябва да създаде НМ по ОСП не по-късно от 12 месеца след одобряването от Комисията на СП по ОСП. Към настоящия момент се подготвя техническо задание за възлагане на дейността на ЗУ на НМ по ОСП на външен изпълнител и общиствената поръчка все още не е обявена. За изпълнение на чл. 126 от Регламент (ЕС) 2021/2115 следва да се предприемат своевременни мерки, с оглед създаване на НМ по ОСП, съгласно сроковете, предвидени в правото на ЕС.</w:t>
            </w:r>
          </w:p>
          <w:p>
            <w:pPr>
              <w:pStyle w:val="BodyText"/>
              <w:jc w:val="both"/>
              <w:rPr>
                <w:b w:val="0"/>
              </w:rPr>
            </w:pPr>
          </w:p>
        </w:tc>
      </w:tr>
    </w:tbl>
    <w:p>
      <w:pPr>
        <w:pStyle w:val="Heading3"/>
        <w:jc w:val="left"/>
        <w:rPr>
          <w:b w:val="0"/>
        </w:rPr>
      </w:pPr>
      <w:bookmarkStart w:id="23" w:name="_Toc256000023"/>
      <w:r>
        <w:rPr>
          <w:b w:val="0"/>
        </w:rPr>
        <w:t>Предприетите действия и актуалното състояние по отношение на изпълнението на плана за действие</w:t>
      </w:r>
      <w:bookmarkEnd w:id="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56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noWrap w:val="0"/>
            <w:tcMar>
              <w:top w:w="20" w:type="dxa"/>
              <w:left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През 2022 г., от ЗУ са организирани и проведени множество събития с различна насоченост и тематика: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Проведени са 2 работна среща „Надграждане на капацитета на регионалните коодринатори от ЗУ на НСМ“;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Информационен семинар „Възможности за подкрепа по подмярка 6.1. от ПРСР 2014-2020. Актуални възможности за подкрепа по схеми на ДФЗ за справяне с кризата. Нови възможности за подкрепа на малки и млади фермери в новата ОСП 2023- 2027. Очаквани интервенции по директните плащания в новия програмен период.“;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Тематична среща за обмен на опит и знания, демонстрация на добра практика по ПРСР 2014-2020 в читалището на с. Лозенец „Светлина -1928 и животновъдна ферма на „МУРРА 2002“ ООД в с. Лозенец;</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Работна среща „Набиране на идеи и обратна връзка относно прилагането на процедурите за избор на изпълнител по ПРСР 2014-2020, предложения за справяне с предизвикателствата и подготовка за новия програмен период“;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Участие на НСМ в „Национален Фестивал на Лавандулата“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Работна среща „Набиране на идеи в подкрепа на подпомагане на интелигентни селища (smart villages) и решения в България“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Работна среща „Актуално за хода на преговорите и финализирането на Стратегическия план по ОСП за периода 2023-2027“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Работна среща с научната общност и потенциални бенефициенти за представяне на възможностите за подкрепа по подмярка 1.2 „Демонстрационни дейности и действия по осведомяване“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Работна среща „Обсъждане проекта на нов Национален план за биологично производство в контекста на Европейската зелена сделка и амбициозните цели за 2030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 Обучение „Ново законодателство в областта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1-во заседание ТРГ 5 „Подкрепа за Smart villages в България“;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Информационен семинар за потенциални бенефициенти „Възможности за подкрепа на общините от селските райони по подмярка 7.2 „Инвестиции в създаването, подобряването или разширяването на всички видове малка по мащаби инфраструктура“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2-ро заседание на ТРГ 5 „Подкрепа за Smart villages в България“;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Участие на член на НСМ в ЕС- събитие на Montana174, Final conference “How to foster the effective uptake of Cohesion Policy funds in mountain areas?”;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15. Кръгла маса с УО на тема „Smart villages и възможности за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16. Кръгла маса за експертите от УО и ДФЗ с експерти от Дирекция „Национален фонд“ на МФ и Дирекция „ЦКЗ“ към МС “Демаркация и синергия на Плана за възстановяване и устойчивост със Стратегическия план по ОСП 2023-2027. Подготовка за прилагане на проектите от ПВУ в сектор земеделие и дигитализация на МЗм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17. Работна среща за развитие на капацитета на представителите на МИГ „Възможности за подкрепа на МИГ по текущия прием на подмярка 19.3 „Подготовка и изпълнение на дейности за сътрудничество на МИГ”. Концепцията на ЕС за „Smart Villages” в подкрепа на интелигентни селища и решения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18. Участие на ЗУ и УО по покана на ЕК за „EU CAP Network Launch Event“;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19. Хибриднa международна среща с НСМ от ЕС и новата Европейска мрежа по ОСП “Vision for  National CAP Network“;</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20. Финална Национална конференция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През 2022 г., от ЗУ са изпълнени и множество дейности, допринасящи за популяризирането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Текущо е поддържан и надграждан интернет сайта на НСМ с богата информация и интензивен новинарски поток, като броят посещения през последната година е достигнал до 210 719 броя/г;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Публикувани са над 2 373 новини в уеб сайта, от които 474 в областта на иновациите;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Поддържа се и профилът на НСМ във Фейсбук, който е с висока активност и 4 930 последователи;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Издава се ежемесечен електронен бюлетин с 2 304 абонати, поддържа се база данни с иновации (вкл. и проекти по Хоризонт, Life, постижения на ССА);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Извършени са множество преводи на материали от ЕПИ-АГРИ и ЕМРСР, отнасящи се до: иновации,  АКИС,  “Оживени селски райони”, “Цифрови и социални иновации в услугите в селските райони”, “Биоикономика“, Интегриране на биоикономиката”, “Интелигентни села - съживяване на услугите в селските райони”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Разширен е капацитетът на НСМ, чрез привличането на нови членове, с което общият брой на членовете на НСМ в края на октомври 2022 г. достига 2 737 броя.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проведената заключителна конференция, в сайта на ЗУ на НСМ са качени публикации, включващи  информация за събитието, анализ на структурата на НСМ към ПРСР 2014-2020 и на новата НМ по ОСП 2023-2027, препоръки към новата НМ по ОСП, както и информация за направените проучвания за целите на стратегическото програмиране на ОСП 2023-2027.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https://ruralnet.bg/%d0%b7%d0%b2%d0%b5%d0%bd%d0%be%d1%82%d0%be-%d0%b7%d0%b0-%d1%83%d0%bf%d1%80%d0%b0%d0%b2%d0%bb%d0%b5%d0%bd%d0%b8%d0%b5-%d0%bd%d0%b0-%d0%bd%d1%81%d0%bc-%d0%b1%d0%bb%d0%b0%d0%b3%d0%be%d0%b4%d0%b0%d1%80/?_gl=1*1qtmsb3*_ga*MTYzNTIwMzY2MS4xNjg0Mzg4NTAy*_up*MQ...</w:t>
            </w:r>
          </w:p>
          <w:p>
            <w:pPr>
              <w:pStyle w:val="BodyText"/>
              <w:jc w:val="both"/>
              <w:rPr>
                <w:b w:val="0"/>
              </w:rPr>
            </w:pPr>
          </w:p>
        </w:tc>
      </w:tr>
    </w:tbl>
    <w:p>
      <w:pPr>
        <w:pStyle w:val="Heading2"/>
      </w:pPr>
      <w:bookmarkStart w:id="24" w:name="_Toc256000024"/>
      <w:r>
        <w:t>Стъпки, предприети за осигуряване на публичност на програмата (член 13 от Регламент за изпълнение (ЕС) № 808/2014 на Комисията)</w:t>
      </w:r>
      <w:bookmarkEnd w:id="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56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rPr>
          <w:trHeight w:hRule="auto" w:val="0"/>
        </w:trPr>
        <w:tc>
          <w:tcPr>
            <w:tcW w:w="12000" w:type="dxa"/>
            <w:shd w:val="clear" w:color="auto" w:fill="auto"/>
            <w:noWrap w:val="0"/>
            <w:tcMar>
              <w:top w:w="20" w:type="dxa"/>
              <w:left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Комуникационния план на ПРСР 2014-2020 г., през 2022 г., са извършени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Сключени договори за информираност и публичност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 Закупуване на програмно време за излъчване на информационни материали по ПРСР 2014-2020 г. в програмата на Агро Ти Ви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изпълнен.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„Закупуване на програмно време за излъчване на информационни материали по ПРСР 2014-2020 г. в програмата на телевизия Евроком“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изпълнен.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програмно време за излъчване на информационни материали по ПРСР 2014-2020 г. в програмата на България он еър“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изпълнен.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„Закупуване на програмно време за излъчване на информационни материали по ПРСР 2014-2020 г. в ефира на Дарик Радио“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изпълнен.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„Закупуване на програмно време за излъчване на информационни материали (рубрики) по ПРСР (2014-2020 Г.) в ефира на БНР“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изпълнен.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„Реализиране на рекламна кампания с цел презентиране на добрите практики по Програмата за развитие на селските райони (2014-2020 г.) на страниците на вестник Земя“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„Реализиране на рекламна кампания с цел презентиране на добрите практики по Програмата за развитие на селските райони за периода 2014-2020 г. в публичното пространство – www.bgnes.bg“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„Закупуване на програмно време за излъчване на информационни материали (репортажи и клипове) по Програма за развитие на селските райони (2014-2020 г.) в програмата на радио ФОКУС“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„Закупуване на програмно време за излъчване на информационни материали (репортажи/рубрики) по Програма за развитие на селските райони (2014-2020 г.) в Wness TV и Soul &amp; Peper TV“</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 „Закупуване на програмно време за излъчване на информационни материали (рубрики) по Програма за развитие на селските райони (2014-2020 г.) в програмата на Българската Национална Телевизия (БНТ)“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„Закупуване на програмно време за излъчване на информационни материали (рубрики) по Програма за развитие на селските райони (2014-2020 г.) в програмата на Нова телевизия“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„Изработване и реализиране на видео съдържание по Програмата за развитие на селските райони (2014-2020 г.) в медиите/дигиталните канали на БТВ Медиа Груп“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„Закупуване на програмно време за излъчване на информационни материали (рубрики) по ПРСР в Euronews“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в процес на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„Наем на изложбена площ и изложбен реквизит за провеждане Коледен пазар на земеделски производители, в рамките на събитието „Sofia Cristmas Fest 2022“ на територията на Националния дворец на културата, под егидата на Министерството на земеделието“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Изпълнение:</w:t>
            </w:r>
            <w:r>
              <w:rPr>
                <w:rFonts w:ascii="Times New Roman" w:eastAsia="Times New Roman" w:hAnsi="Times New Roman" w:cs="Times New Roman"/>
                <w:szCs w:val="24"/>
              </w:rPr>
              <w:t xml:space="preserve"> към 31.12.2022 г. договорът е изпълнен.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програмно време за излъчване на информационни материали (репортажи и клипове) за Програма за развитие на селските райони (2014-2020 г.) се цели да се ускори и улесни изпълнението на проектите на бенефициентите, както и да се популяризира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Целта е хората да се запознаят отблизо с мерките за подпомагане, както и да се популяризира приноса и значението на Програмата за съхранението и развитието на селските райони.</w:t>
            </w:r>
          </w:p>
          <w:p>
            <w:pPr>
              <w:pStyle w:val="BodyText"/>
              <w:jc w:val="both"/>
            </w:pPr>
          </w:p>
        </w:tc>
      </w:tr>
    </w:tbl>
    <w:p>
      <w:pPr>
        <w:sectPr>
          <w:pgMar w:top="900" w:right="900" w:bottom="900" w:left="900" w:header="720" w:footer="720"/>
          <w:cols w:space="720"/>
        </w:sectPr>
      </w:pPr>
    </w:p>
    <w:p>
      <w:pPr>
        <w:pStyle w:val="Heading1"/>
      </w:pPr>
      <w:bookmarkStart w:id="25" w:name="_Toc256000025"/>
      <w:r>
        <w:t>Действия, предприети за изпълнение на предварителните условия</w:t>
      </w:r>
      <w:bookmarkEnd w:id="25"/>
    </w:p>
    <w:p>
      <w:r>
        <w:t>Този раздел се отнася само за годишния/ите доклад/и за изпълнението 2015, 2016</w:t>
      </w:r>
    </w:p>
    <w:p>
      <w:pPr>
        <w:sectPr>
          <w:pgMar w:top="900" w:right="900" w:bottom="900" w:left="900" w:header="720" w:footer="720"/>
          <w:cols w:space="720"/>
        </w:sectPr>
      </w:pPr>
    </w:p>
    <w:p>
      <w:pPr>
        <w:pStyle w:val="Heading1"/>
      </w:pPr>
      <w:bookmarkStart w:id="26" w:name="_Toc256000026"/>
      <w:r>
        <w:t>Описание на изпълнението на подпрограмите</w:t>
      </w:r>
      <w:bookmarkEnd w:id="26"/>
    </w:p>
    <w:p>
      <w:r>
        <w:t>Този раздел се отнася само за годишния/ите доклад/и за изпълнението 2016, 2018</w:t>
      </w:r>
    </w:p>
    <w:p>
      <w:pPr>
        <w:sectPr>
          <w:pgMar w:top="900" w:right="900" w:bottom="900" w:left="900" w:header="720" w:footer="720"/>
          <w:cols w:space="720"/>
        </w:sectPr>
      </w:pPr>
    </w:p>
    <w:p>
      <w:pPr>
        <w:pStyle w:val="Heading1"/>
      </w:pPr>
      <w:bookmarkStart w:id="27" w:name="_Toc256000027"/>
      <w:r>
        <w:t>Оценка на информацията и напредъка в постигането на целите на програмата</w:t>
      </w:r>
      <w:bookmarkEnd w:id="27"/>
    </w:p>
    <w:p>
      <w:r>
        <w:t>Този раздел се отнася само за годишния/ите доклад/и за изпълнението 2016, 2018</w:t>
      </w:r>
    </w:p>
    <w:p>
      <w:pPr>
        <w:sectPr>
          <w:pgMar w:top="900" w:right="900" w:bottom="900" w:left="900" w:header="720" w:footer="720"/>
          <w:cols w:space="720"/>
        </w:sectPr>
      </w:pPr>
    </w:p>
    <w:p>
      <w:pPr>
        <w:pStyle w:val="Heading1"/>
      </w:pPr>
      <w:r>
        <w:t xml:space="preserve"> </w:t>
      </w:r>
      <w:bookmarkStart w:id="28" w:name="_Toc256000028"/>
      <w:r>
        <w:t>Изпълнение на дейности с цел отчитане на принципите, определени в членове 5, 7 и 8 от Регламент (ЕС) № 1303/2013</w:t>
      </w:r>
      <w:bookmarkEnd w:id="28"/>
    </w:p>
    <w:p>
      <w:r>
        <w:t>Този раздел се отнася само за годишния/ите доклад/и за изпълнението 2016, 2018</w:t>
      </w:r>
    </w:p>
    <w:p>
      <w:pPr>
        <w:sectPr>
          <w:pgMar w:top="900" w:right="900" w:bottom="900" w:left="900" w:header="720" w:footer="720"/>
          <w:cols w:space="720"/>
        </w:sectPr>
      </w:pPr>
    </w:p>
    <w:p>
      <w:pPr>
        <w:pStyle w:val="Heading1"/>
      </w:pPr>
      <w:r>
        <w:br w:type="page"/>
      </w:r>
      <w:bookmarkStart w:id="29" w:name="_Toc256000029"/>
      <w:r>
        <w:t>Напредък в осигуряването на интегриран подход при използването на ЕЗФРСР и на други финансови инструменти на ЕС</w:t>
      </w:r>
      <w:bookmarkEnd w:id="29"/>
    </w:p>
    <w:p>
      <w:r>
        <w:t>Този раздел се отнася само за годишния/ите доклад/и за изпълнението 2018</w:t>
      </w:r>
    </w:p>
    <w:p>
      <w:pPr>
        <w:sectPr>
          <w:pgMar w:top="900" w:right="900" w:bottom="900" w:left="900" w:header="720" w:footer="720"/>
          <w:cols w:space="720"/>
        </w:sectPr>
      </w:pPr>
    </w:p>
    <w:p>
      <w:pPr>
        <w:pStyle w:val="Heading1"/>
      </w:pPr>
      <w:bookmarkStart w:id="30" w:name="_Toc256000030"/>
      <w:r>
        <w:t>Доклад за изпълнението на финансовите инструменти (член 46 от Регламент (ЕС) № 1303/2013)</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284"/>
        <w:gridCol w:w="52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3300" w:type="pct"/>
            <w:shd w:val="clear" w:color="auto" w:fill="auto"/>
            <w:noWrap w:val="0"/>
            <w:tcMar>
              <w:top w:w="20" w:type="dxa"/>
              <w:left w:w="20" w:type="dxa"/>
              <w:bottom w:w="20" w:type="dxa"/>
            </w:tcMar>
            <w:vAlign w:val="center"/>
          </w:tcPr>
          <w:p>
            <w:pPr>
              <w:spacing w:before="20" w:after="20"/>
              <w:jc w:val="left"/>
              <w:rPr>
                <w:sz w:val="24"/>
              </w:rPr>
            </w:pPr>
            <w:r>
              <w:rPr>
                <w:sz w:val="24"/>
              </w:rPr>
              <w:t>30A. Започнала ли е предварителната оценка?</w:t>
            </w:r>
          </w:p>
        </w:tc>
        <w:tc>
          <w:tcPr>
            <w:tcW w:w="0" w:type="auto"/>
            <w:shd w:val="clear" w:color="auto" w:fill="auto"/>
            <w:noWrap w:val="0"/>
            <w:tcMar>
              <w:top w:w="20" w:type="dxa"/>
              <w:left w:w="20" w:type="dxa"/>
              <w:bottom w:w="20" w:type="dxa"/>
            </w:tcMar>
            <w:vAlign w:val="center"/>
          </w:tcPr>
          <w:p>
            <w:pPr>
              <w:spacing w:before="20" w:after="20"/>
              <w:jc w:val="left"/>
              <w:rPr>
                <w:sz w:val="24"/>
              </w:rPr>
            </w:pPr>
            <w:r>
              <w:rPr>
                <w:sz w:val="24"/>
              </w:rPr>
              <w:t>Да</w:t>
            </w:r>
          </w:p>
        </w:tc>
      </w:tr>
      <w:tr>
        <w:tblPrEx>
          <w:tblW w:w="5000" w:type="pct"/>
          <w:tblCellMar>
            <w:left w:w="108" w:type="dxa"/>
            <w:right w:w="108" w:type="dxa"/>
          </w:tblCellMar>
        </w:tblPrEx>
        <w:trPr>
          <w:trHeight w:hRule="auto" w:val="0"/>
        </w:trPr>
        <w:tc>
          <w:tcPr>
            <w:tcW w:w="3300" w:type="pct"/>
            <w:shd w:val="clear" w:color="auto" w:fill="auto"/>
            <w:noWrap w:val="0"/>
            <w:tcMar>
              <w:top w:w="20" w:type="dxa"/>
              <w:left w:w="20" w:type="dxa"/>
              <w:bottom w:w="20" w:type="dxa"/>
            </w:tcMar>
            <w:vAlign w:val="center"/>
          </w:tcPr>
          <w:p>
            <w:pPr>
              <w:spacing w:before="20" w:after="20"/>
              <w:jc w:val="left"/>
              <w:rPr>
                <w:sz w:val="24"/>
              </w:rPr>
            </w:pPr>
            <w:r>
              <w:rPr>
                <w:sz w:val="24"/>
              </w:rPr>
              <w:t>30Б. Завършена ли е предварителната оценка?</w:t>
            </w:r>
          </w:p>
        </w:tc>
        <w:tc>
          <w:tcPr>
            <w:tcW w:w="0" w:type="auto"/>
            <w:shd w:val="clear" w:color="auto" w:fill="auto"/>
            <w:noWrap w:val="0"/>
            <w:tcMar>
              <w:top w:w="20" w:type="dxa"/>
              <w:left w:w="20" w:type="dxa"/>
              <w:bottom w:w="20" w:type="dxa"/>
            </w:tcMar>
            <w:vAlign w:val="center"/>
          </w:tcPr>
          <w:p>
            <w:pPr>
              <w:spacing w:before="20" w:after="20"/>
              <w:jc w:val="left"/>
              <w:rPr>
                <w:sz w:val="24"/>
              </w:rPr>
            </w:pPr>
            <w:r>
              <w:rPr>
                <w:sz w:val="24"/>
              </w:rPr>
              <w:t>Да</w:t>
            </w:r>
          </w:p>
        </w:tc>
      </w:tr>
      <w:tr>
        <w:tblPrEx>
          <w:tblW w:w="5000" w:type="pct"/>
          <w:tblCellMar>
            <w:left w:w="108" w:type="dxa"/>
            <w:right w:w="108" w:type="dxa"/>
          </w:tblCellMar>
        </w:tblPrEx>
        <w:trPr>
          <w:trHeight w:hRule="auto" w:val="0"/>
        </w:trPr>
        <w:tc>
          <w:tcPr>
            <w:tcW w:w="3300" w:type="pct"/>
            <w:shd w:val="clear" w:color="auto" w:fill="auto"/>
            <w:noWrap w:val="0"/>
            <w:tcMar>
              <w:top w:w="20" w:type="dxa"/>
              <w:left w:w="20" w:type="dxa"/>
              <w:bottom w:w="20" w:type="dxa"/>
            </w:tcMar>
            <w:vAlign w:val="center"/>
          </w:tcPr>
          <w:p>
            <w:pPr>
              <w:spacing w:before="20" w:after="20"/>
              <w:jc w:val="left"/>
              <w:rPr>
                <w:sz w:val="24"/>
              </w:rPr>
            </w:pPr>
            <w:r>
              <w:rPr>
                <w:sz w:val="24"/>
              </w:rPr>
              <w:t>30. Дата на завършване на предварителната оценка</w:t>
            </w:r>
          </w:p>
        </w:tc>
        <w:tc>
          <w:tcPr>
            <w:tcW w:w="0" w:type="auto"/>
            <w:shd w:val="clear" w:color="auto" w:fill="auto"/>
            <w:noWrap w:val="0"/>
            <w:tcMar>
              <w:top w:w="20" w:type="dxa"/>
              <w:left w:w="20" w:type="dxa"/>
              <w:bottom w:w="20" w:type="dxa"/>
            </w:tcMar>
            <w:vAlign w:val="center"/>
          </w:tcPr>
          <w:p>
            <w:pPr>
              <w:spacing w:before="20" w:after="20"/>
              <w:jc w:val="left"/>
              <w:rPr>
                <w:sz w:val="24"/>
              </w:rPr>
            </w:pPr>
            <w:r>
              <w:rPr>
                <w:sz w:val="24"/>
              </w:rPr>
              <w:t>31-05-2018</w:t>
            </w:r>
          </w:p>
        </w:tc>
      </w:tr>
      <w:tr>
        <w:tblPrEx>
          <w:tblW w:w="5000" w:type="pct"/>
          <w:tblCellMar>
            <w:left w:w="108" w:type="dxa"/>
            <w:right w:w="108" w:type="dxa"/>
          </w:tblCellMar>
        </w:tblPrEx>
        <w:trPr>
          <w:trHeight w:hRule="auto" w:val="0"/>
        </w:trPr>
        <w:tc>
          <w:tcPr>
            <w:tcW w:w="3300" w:type="pct"/>
            <w:shd w:val="clear" w:color="auto" w:fill="auto"/>
            <w:noWrap w:val="0"/>
            <w:tcMar>
              <w:top w:w="20" w:type="dxa"/>
              <w:left w:w="20" w:type="dxa"/>
              <w:bottom w:w="20" w:type="dxa"/>
            </w:tcMar>
            <w:vAlign w:val="center"/>
          </w:tcPr>
          <w:p>
            <w:pPr>
              <w:spacing w:before="20" w:after="20"/>
              <w:jc w:val="left"/>
              <w:rPr>
                <w:sz w:val="24"/>
              </w:rPr>
            </w:pPr>
            <w:r>
              <w:rPr>
                <w:sz w:val="24"/>
              </w:rPr>
              <w:t>31.1. Вече започнал ли е процес на избор или определяне?</w:t>
            </w:r>
          </w:p>
        </w:tc>
        <w:tc>
          <w:tcPr>
            <w:tcW w:w="0" w:type="auto"/>
            <w:shd w:val="clear" w:color="auto" w:fill="auto"/>
            <w:noWrap w:val="0"/>
            <w:tcMar>
              <w:top w:w="20" w:type="dxa"/>
              <w:left w:w="20" w:type="dxa"/>
              <w:bottom w:w="20" w:type="dxa"/>
            </w:tcMar>
            <w:vAlign w:val="center"/>
          </w:tcPr>
          <w:p>
            <w:pPr>
              <w:spacing w:before="20" w:after="20"/>
              <w:jc w:val="left"/>
              <w:rPr>
                <w:sz w:val="24"/>
              </w:rPr>
            </w:pPr>
            <w:r>
              <w:rPr>
                <w:sz w:val="24"/>
              </w:rPr>
              <w:t>Да</w:t>
            </w:r>
          </w:p>
        </w:tc>
      </w:tr>
      <w:tr>
        <w:tblPrEx>
          <w:tblW w:w="5000" w:type="pct"/>
          <w:tblCellMar>
            <w:left w:w="108" w:type="dxa"/>
            <w:right w:w="108" w:type="dxa"/>
          </w:tblCellMar>
        </w:tblPrEx>
        <w:trPr>
          <w:trHeight w:hRule="auto" w:val="0"/>
        </w:trPr>
        <w:tc>
          <w:tcPr>
            <w:tcW w:w="3300" w:type="pct"/>
            <w:shd w:val="clear" w:color="auto" w:fill="auto"/>
            <w:noWrap w:val="0"/>
            <w:tcMar>
              <w:top w:w="20" w:type="dxa"/>
              <w:left w:w="20" w:type="dxa"/>
              <w:bottom w:w="20" w:type="dxa"/>
            </w:tcMar>
            <w:vAlign w:val="center"/>
          </w:tcPr>
          <w:p>
            <w:pPr>
              <w:spacing w:before="20" w:after="20"/>
              <w:jc w:val="left"/>
              <w:rPr>
                <w:sz w:val="24"/>
              </w:rPr>
            </w:pPr>
            <w:r>
              <w:rPr>
                <w:sz w:val="24"/>
              </w:rPr>
              <w:t>13A. Споразумението за финансиране подписано ли е?</w:t>
            </w:r>
          </w:p>
        </w:tc>
        <w:tc>
          <w:tcPr>
            <w:tcW w:w="0" w:type="auto"/>
            <w:shd w:val="clear" w:color="auto" w:fill="auto"/>
            <w:noWrap w:val="0"/>
            <w:tcMar>
              <w:top w:w="20" w:type="dxa"/>
              <w:left w:w="20" w:type="dxa"/>
              <w:bottom w:w="20" w:type="dxa"/>
            </w:tcMar>
            <w:vAlign w:val="center"/>
          </w:tcPr>
          <w:p>
            <w:pPr>
              <w:spacing w:before="20" w:after="20"/>
              <w:jc w:val="left"/>
              <w:rPr>
                <w:sz w:val="24"/>
              </w:rPr>
            </w:pPr>
            <w:r>
              <w:rPr>
                <w:sz w:val="24"/>
              </w:rPr>
              <w:t>Да</w:t>
            </w:r>
          </w:p>
        </w:tc>
      </w:tr>
      <w:tr>
        <w:tblPrEx>
          <w:tblW w:w="5000" w:type="pct"/>
          <w:tblCellMar>
            <w:left w:w="108" w:type="dxa"/>
            <w:right w:w="108" w:type="dxa"/>
          </w:tblCellMar>
        </w:tblPrEx>
        <w:trPr>
          <w:trHeight w:hRule="auto" w:val="0"/>
        </w:trPr>
        <w:tc>
          <w:tcPr>
            <w:tcW w:w="3300" w:type="pct"/>
            <w:shd w:val="clear" w:color="auto" w:fill="auto"/>
            <w:noWrap w:val="0"/>
            <w:tcMar>
              <w:top w:w="20" w:type="dxa"/>
              <w:left w:w="20" w:type="dxa"/>
              <w:bottom w:w="20" w:type="dxa"/>
            </w:tcMar>
            <w:vAlign w:val="center"/>
          </w:tcPr>
          <w:p>
            <w:pPr>
              <w:spacing w:before="20" w:after="20"/>
              <w:jc w:val="left"/>
              <w:rPr>
                <w:sz w:val="24"/>
              </w:rPr>
            </w:pPr>
            <w:r>
              <w:rPr>
                <w:sz w:val="24"/>
              </w:rPr>
              <w:t>13. Дата на подписване на споразумението за финансиране с органа, изпълняващ финансовия инструмент</w:t>
            </w:r>
          </w:p>
        </w:tc>
        <w:tc>
          <w:tcPr>
            <w:tcW w:w="0" w:type="auto"/>
            <w:shd w:val="clear" w:color="auto" w:fill="auto"/>
            <w:noWrap w:val="0"/>
            <w:tcMar>
              <w:top w:w="20" w:type="dxa"/>
              <w:left w:w="20" w:type="dxa"/>
              <w:bottom w:w="20" w:type="dxa"/>
            </w:tcMar>
            <w:vAlign w:val="center"/>
          </w:tcPr>
          <w:p>
            <w:pPr>
              <w:spacing w:before="20" w:after="20"/>
              <w:jc w:val="left"/>
              <w:rPr>
                <w:sz w:val="24"/>
              </w:rPr>
            </w:pPr>
            <w:r>
              <w:rPr>
                <w:sz w:val="24"/>
              </w:rPr>
              <w:t>03-09-2020</w:t>
            </w:r>
          </w:p>
        </w:tc>
      </w:tr>
    </w:tbl>
    <w:p>
      <w:pPr>
        <w:rPr>
          <w:sz w:val="28"/>
        </w:rPr>
      </w:pPr>
    </w:p>
    <w:p>
      <w:pPr>
        <w:rPr>
          <w:sz w:val="28"/>
        </w:rPr>
      </w:pPr>
      <w:r>
        <w:rPr>
          <w:sz w:val="28"/>
        </w:rPr>
        <w:t>Списък на финансовите инструменти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23"/>
        <w:gridCol w:w="3523"/>
        <w:gridCol w:w="352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0" w:type="auto"/>
            <w:shd w:val="clear" w:color="auto" w:fill="C0C0C0"/>
            <w:noWrap w:val="0"/>
            <w:tcMar>
              <w:top w:w="20" w:type="dxa"/>
              <w:left w:w="20" w:type="dxa"/>
              <w:bottom w:w="20" w:type="dxa"/>
            </w:tcMar>
            <w:vAlign w:val="center"/>
          </w:tcPr>
          <w:p>
            <w:pPr>
              <w:jc w:val="center"/>
              <w:rPr>
                <w:b w:val="0"/>
                <w:sz w:val="24"/>
              </w:rPr>
            </w:pPr>
            <w:r>
              <w:rPr>
                <w:b w:val="0"/>
                <w:sz w:val="24"/>
              </w:rPr>
              <w:t>Наименование на финансовия инструмент</w:t>
            </w:r>
          </w:p>
        </w:tc>
        <w:tc>
          <w:tcPr>
            <w:tcW w:w="0" w:type="auto"/>
            <w:shd w:val="clear" w:color="auto" w:fill="C0C0C0"/>
            <w:noWrap w:val="0"/>
            <w:tcMar>
              <w:top w:w="20" w:type="dxa"/>
              <w:left w:w="20" w:type="dxa"/>
              <w:bottom w:w="20" w:type="dxa"/>
            </w:tcMar>
            <w:vAlign w:val="center"/>
          </w:tcPr>
          <w:p>
            <w:pPr>
              <w:jc w:val="center"/>
              <w:rPr>
                <w:b w:val="0"/>
                <w:sz w:val="24"/>
              </w:rPr>
            </w:pPr>
            <w:r>
              <w:rPr>
                <w:b w:val="0"/>
                <w:sz w:val="24"/>
              </w:rPr>
              <w:t>Вид на финансовия инструмент</w:t>
            </w:r>
          </w:p>
        </w:tc>
        <w:tc>
          <w:tcPr>
            <w:tcW w:w="0" w:type="auto"/>
            <w:shd w:val="clear" w:color="auto" w:fill="C0C0C0"/>
            <w:noWrap w:val="0"/>
            <w:tcMar>
              <w:top w:w="20" w:type="dxa"/>
              <w:left w:w="20" w:type="dxa"/>
              <w:bottom w:w="20" w:type="dxa"/>
            </w:tcMar>
            <w:vAlign w:val="center"/>
          </w:tcPr>
          <w:p>
            <w:pPr>
              <w:jc w:val="center"/>
              <w:rPr>
                <w:b w:val="0"/>
                <w:sz w:val="16"/>
              </w:rPr>
            </w:pPr>
            <w:r>
              <w:rPr>
                <w:b w:val="0"/>
                <w:sz w:val="24"/>
              </w:rPr>
              <w:t>Свързани фондове — част от фондови структури</w:t>
            </w:r>
          </w:p>
        </w:tc>
      </w:tr>
      <w:tr>
        <w:tblPrEx>
          <w:tblW w:w="5000" w:type="pct"/>
          <w:tblCellMar>
            <w:left w:w="108" w:type="dxa"/>
            <w:right w:w="108" w:type="dxa"/>
          </w:tblCellMar>
        </w:tblPrEx>
        <w:trPr>
          <w:trHeight w:hRule="auto" w:val="0"/>
        </w:trPr>
        <w:tc>
          <w:tcPr>
            <w:tcW w:w="0" w:type="auto"/>
            <w:shd w:val="clear" w:color="auto" w:fill="FFFFFF"/>
            <w:noWrap w:val="0"/>
            <w:tcMar>
              <w:top w:w="20" w:type="dxa"/>
              <w:left w:w="20" w:type="dxa"/>
              <w:bottom w:w="20" w:type="dxa"/>
            </w:tcMar>
            <w:vAlign w:val="center"/>
          </w:tcPr>
          <w:p>
            <w:pPr>
              <w:spacing w:before="20" w:after="20"/>
              <w:jc w:val="left"/>
              <w:rPr>
                <w:b w:val="0"/>
                <w:sz w:val="24"/>
              </w:rPr>
            </w:pPr>
            <w:r>
              <w:rPr>
                <w:b w:val="0"/>
                <w:sz w:val="24"/>
              </w:rPr>
              <w:t>Финансов инструмент по ПРСР 2014-2020</w:t>
            </w:r>
          </w:p>
        </w:tc>
        <w:tc>
          <w:tcPr>
            <w:tcW w:w="0" w:type="auto"/>
            <w:shd w:val="clear" w:color="auto" w:fill="FFFFFF"/>
            <w:noWrap w:val="0"/>
            <w:tcMar>
              <w:top w:w="20" w:type="dxa"/>
              <w:left w:w="20" w:type="dxa"/>
              <w:bottom w:w="20" w:type="dxa"/>
            </w:tcMar>
            <w:vAlign w:val="center"/>
          </w:tcPr>
          <w:p>
            <w:pPr>
              <w:spacing w:before="20" w:after="20"/>
              <w:jc w:val="left"/>
              <w:rPr>
                <w:b w:val="0"/>
                <w:sz w:val="24"/>
              </w:rPr>
            </w:pPr>
            <w:r>
              <w:rPr>
                <w:b w:val="0"/>
                <w:sz w:val="24"/>
              </w:rPr>
              <w:t>Fund of funds</w:t>
            </w:r>
          </w:p>
        </w:tc>
        <w:tc>
          <w:tcPr>
            <w:tcW w:w="0" w:type="auto"/>
            <w:shd w:val="clear" w:color="auto" w:fill="FFFFFF"/>
            <w:noWrap w:val="0"/>
            <w:tcMar>
              <w:top w:w="20" w:type="dxa"/>
              <w:left w:w="20" w:type="dxa"/>
              <w:bottom w:w="20" w:type="dxa"/>
            </w:tcMar>
            <w:vAlign w:val="center"/>
          </w:tcPr>
          <w:p>
            <w:pPr>
              <w:spacing w:before="20" w:after="20"/>
              <w:jc w:val="left"/>
              <w:rPr>
                <w:b w:val="0"/>
                <w:sz w:val="24"/>
              </w:rPr>
            </w:pPr>
          </w:p>
        </w:tc>
      </w:tr>
    </w:tbl>
    <w:p>
      <w:pPr>
        <w:rPr>
          <w:sz w:val="28"/>
        </w:rPr>
        <w:sectPr>
          <w:pgMar w:top="900" w:right="900" w:bottom="900" w:left="900" w:header="720" w:footer="720"/>
          <w:cols w:space="72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284"/>
        <w:gridCol w:w="52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I. Идентификация на програмата и приоритета или мярката, от които се предоставя подкрепа от ЕСИ фондовете (член 46, параграф 2, буква а) от Регламент (ЕС) № 1303/2013)</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1. Приоритетни оси или мерки в подкрепа на финансовия инструмент, включително фонд или фондове, по програмата на ЕСИ фондовете</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1.1. Идентификатори (номер и наименование) на всяка приоритетна ос или мярка в подкрепа на финансовия инструмент по програма на ЕСИ фонд</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M04 — Инвестиции в материални активи (член 17)</w:t>
            </w:r>
          </w:p>
          <w:p>
            <w:pPr>
              <w:spacing w:before="20" w:after="20"/>
              <w:jc w:val="left"/>
              <w:rPr>
                <w:b w:val="0"/>
                <w:sz w:val="24"/>
              </w:rPr>
            </w:pPr>
            <w:r>
              <w:rPr>
                <w:b w:val="0"/>
                <w:sz w:val="24"/>
              </w:rPr>
              <w:t>M06 — Развитие на стопанства и предприятия (член 19)</w:t>
            </w:r>
          </w:p>
          <w:p>
            <w:pPr>
              <w:spacing w:before="20" w:after="20"/>
              <w:jc w:val="left"/>
              <w:rPr>
                <w:b w:val="0"/>
                <w:sz w:val="24"/>
              </w:rPr>
            </w:pPr>
            <w:r>
              <w:rPr>
                <w:b w:val="0"/>
                <w:sz w:val="24"/>
              </w:rPr>
              <w:t>M19 — Подкрепа за местно развитие по LEADER (ВОМР — водено от общностите местно развитие) (член 35 от Регламент (ЕС) № 1303/2013)</w:t>
            </w:r>
          </w:p>
          <w:p>
            <w:pPr>
              <w:spacing w:before="20" w:after="20"/>
              <w:jc w:val="lef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2. Наименование на ЕСИ фонда/фондовете, подкрепящ(и) финансовия инструмент по приоритетната ос или мярката</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Европейски земеделски фонд за развитие на селските райони (ЕЗФРСР)</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3.01 Сума по ЕСИ фондовете, за която е поето задължение в споразумението за финансиране по отношение на отделните акцентирани области, споменати в член 5 от Регламент (ЕС) № 1305/2013, по мерки</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 2A: 13 000 000,00</w:t>
            </w:r>
          </w:p>
          <w:p>
            <w:pPr>
              <w:spacing w:before="20" w:after="20"/>
              <w:jc w:val="right"/>
              <w:rPr>
                <w:b w:val="0"/>
                <w:sz w:val="24"/>
              </w:rPr>
            </w:pPr>
            <w:r>
              <w:rPr>
                <w:b w:val="0"/>
                <w:sz w:val="24"/>
              </w:rPr>
              <w:t>M06 / 6A: 1 500 000,00</w:t>
            </w:r>
          </w:p>
          <w:p>
            <w:pPr>
              <w:spacing w:before="20" w:after="20"/>
              <w:jc w:val="right"/>
              <w:rPr>
                <w:b w:val="0"/>
                <w:sz w:val="24"/>
              </w:rPr>
            </w:pPr>
            <w:r>
              <w:rPr>
                <w:b w:val="0"/>
                <w:sz w:val="24"/>
              </w:rPr>
              <w:t>M19 / 6B: 2 500 000,00</w:t>
            </w:r>
          </w:p>
          <w:p>
            <w:pPr>
              <w:spacing w:before="20" w:after="20"/>
              <w:jc w:val="right"/>
              <w:rPr>
                <w:b w:val="0"/>
                <w:sz w:val="24"/>
              </w:rPr>
            </w:pPr>
            <w:r>
              <w:rPr>
                <w:b w:val="0"/>
                <w:sz w:val="24"/>
              </w:rPr>
              <w:t>Total: 17 000 000,00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3.1. Сума на средствата от ЕСИ фондове, ангажирани за тази тематична цел</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T03: 13 000 000,00</w:t>
            </w:r>
          </w:p>
          <w:p>
            <w:pPr>
              <w:spacing w:before="20" w:after="20"/>
              <w:jc w:val="right"/>
              <w:rPr>
                <w:b w:val="0"/>
                <w:sz w:val="24"/>
              </w:rPr>
            </w:pPr>
            <w:r>
              <w:rPr>
                <w:b w:val="0"/>
                <w:sz w:val="24"/>
              </w:rPr>
              <w:t>T08: 1 500 000,00</w:t>
            </w:r>
          </w:p>
          <w:p>
            <w:pPr>
              <w:spacing w:before="20" w:after="20"/>
              <w:jc w:val="right"/>
              <w:rPr>
                <w:b w:val="0"/>
                <w:sz w:val="24"/>
              </w:rPr>
            </w:pPr>
            <w:r>
              <w:rPr>
                <w:b w:val="0"/>
                <w:sz w:val="24"/>
              </w:rPr>
              <w:t>T09: 2 500 000,00</w:t>
            </w:r>
          </w:p>
          <w:p>
            <w:pPr>
              <w:spacing w:before="20" w:after="20"/>
              <w:jc w:val="right"/>
              <w:rPr>
                <w:b w:val="0"/>
                <w:sz w:val="24"/>
              </w:rPr>
            </w:pPr>
            <w:r>
              <w:rPr>
                <w:b w:val="0"/>
                <w:sz w:val="24"/>
              </w:rPr>
              <w:t>Total: 17 000 000,00</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4. Други програми на ЕСИ фондовете, предоставящи принос към финансовия инструмент</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4.1. Номер CCI на всяка друга програма по ЕСИ фондовете, предоставяща финансово участие във финансовия инструмент</w:t>
            </w:r>
          </w:p>
        </w:tc>
        <w:tc>
          <w:tcPr>
            <w:tcW w:w="0" w:type="auto"/>
            <w:shd w:val="clear" w:color="auto" w:fill="FFFFFF"/>
            <w:noWrap w:val="0"/>
            <w:tcMar>
              <w:top w:w="20" w:type="dxa"/>
              <w:left w:w="20" w:type="dxa"/>
              <w:bottom w:w="20" w:type="dxa"/>
            </w:tcMar>
            <w:vAlign w:val="top"/>
          </w:tcPr>
          <w:p>
            <w:pPr>
              <w:spacing w:before="20" w:after="20"/>
              <w:jc w:val="lef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30. Дата на завършване на предварителната оценка</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31.05.2018</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31. Избор на организациите, прилагащи финансовия инструмент</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31.1. Вече започнал ли е процес на избор или определяне</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Да</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II. Описание на финансовия инструмент и уредбата за изпълнението му (член 46, параграф 2, буква б) от Регламент (ЕС) № 1303/2013)</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5. Наименование на финансовия инструмент</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Финансов инструмент по ПРСР 2014-2020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6. Официален адрес/място на стопанска дейност на финансовия инструмент (държава и град)</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Република България, гр. София 1000, ул. "Кърниградска" № 19, ет. 3</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7. Уредба за изпълнение</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7.1. Финансови инструменти, създадени на равнището на Съюза, управлявани пряко или косвено от Комисията, както е посочено в член 38, параграф 1, буква а) от Регламент (ЕС) № 1303/2013, подкрепяни с финансово участие на програми по ЕСИ фондовете</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Не</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7.1.1. Наименование на финансовия инструмент на равнището на Съюза</w:t>
            </w:r>
          </w:p>
        </w:tc>
        <w:tc>
          <w:tcPr>
            <w:tcW w:w="0" w:type="auto"/>
            <w:shd w:val="clear" w:color="auto" w:fill="FFFFFF"/>
            <w:noWrap w:val="0"/>
            <w:tcMar>
              <w:top w:w="20" w:type="dxa"/>
              <w:left w:w="20" w:type="dxa"/>
              <w:bottom w:w="20" w:type="dxa"/>
            </w:tcMar>
            <w:vAlign w:val="top"/>
          </w:tcPr>
          <w:p>
            <w:pPr>
              <w:spacing w:before="20" w:after="20"/>
              <w:jc w:val="lef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7.2. Финансов инструмент, създаден на национално, регионално, международно или трансгранично равнище, управляван от или на отговорността на управляващия орган, както е посочено в член 38, параграф 1, буква б), подкрепян с финансово участие от програма на европейските структурни и инвестиционни фондове съгласно член 38, параграф 4, букви а), б), в) и г) от Регламент (ЕС) № 1303/2013</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Поверяване на задачи по изпълнението чрез пряко възлагане на договор</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7.3. Финансов инструмент, съчетаващ финансово участие на УО с финансови продукти на ЕИБ в рамките на Европейския фонд за стратегически инвестиции в съответствие с член 39а, посочени в член 38, параграф 1, буква в)</w:t>
            </w:r>
          </w:p>
        </w:tc>
        <w:tc>
          <w:tcPr>
            <w:tcW w:w="0" w:type="auto"/>
            <w:shd w:val="clear" w:color="auto" w:fill="FFFFFF"/>
            <w:noWrap w:val="0"/>
            <w:tcMar>
              <w:top w:w="20" w:type="dxa"/>
              <w:left w:w="20" w:type="dxa"/>
              <w:bottom w:w="20" w:type="dxa"/>
            </w:tcMar>
            <w:vAlign w:val="top"/>
          </w:tcPr>
          <w:p>
            <w:pPr>
              <w:spacing w:before="20" w:after="20"/>
              <w:jc w:val="lef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8. Вид на финансовия инструмент</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Фондове — част от фондови структури</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10. Правен статут на финансовия инструмент съгласно член 38, параграф 6 и член 39а, параграф 5, буква б) от Регламент (ЕС) № 1303/2013 (само за финансови инструменти, посочени в член 38, параграф 1, букви б) и в): доверителна сметка, открита на името на изпълняващата организация и в полза на управляващия орган или отделен финансов блок в рамките на финансовата институция</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Доверителна сметка</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III. Идентификация на органа, изпълняващ финансовия инструмент, и на органа, изпълняващ фонд или фондове, където е приложимо, както е посочено в член 38, параграф 1), букви а), б) и в) от Регламент (ЕС) № 1303/2013 (член 46, параграф 2, буква в) от Регламент (ЕС) № 1303/2013)</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11. Орган, изпълняващ финансовия инструмент</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11.1. Вид на изпълняващия орган съгласно член 38, параграф 4 и член 39а, параграф 5 от Регламент (ЕС) № 1303/2013: съществуващ или новосъздаден правен субект, чиято функция е изпълнението на финансови инструменти; Европейската инвестиционна банка; Европейският инвестиционен фонд; международна финансова институция, в която дадена държава членка притежава дялове; банка или институция, която е публична собственост, учредена като правен субект, извършващ финансови дейности на професионална основа; публичноправен или частноправен орган; управляващ орган, който пряко предприема задачи по изпълнението (само за заеми и гаранции)</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Публична банка или институция</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11.1.1. Наименование на органа, изпълняващ финансовия инструмент</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“Фонд мениджър на финансови инструменти в България” ЕАД</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11.1.2. Официален адрес/място на стопанска дейност (държава и град) на органа, изпълняващ финансовия инструмент</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Република България, гр. София 1606, бул. "Едуард И. Тотлебен" 30-32, ет.4</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12. Процедура за избор на органа, изпълняващ финансовия инструмент: възлагане на обществена поръчка; друга процедура.</w:t>
            </w:r>
          </w:p>
        </w:tc>
        <w:tc>
          <w:tcPr>
            <w:tcW w:w="0" w:type="auto"/>
            <w:shd w:val="clear" w:color="auto" w:fill="FFFFFF"/>
            <w:noWrap w:val="0"/>
            <w:tcMar>
              <w:top w:w="20" w:type="dxa"/>
              <w:left w:w="20" w:type="dxa"/>
              <w:bottom w:w="20" w:type="dxa"/>
            </w:tcMar>
            <w:vAlign w:val="top"/>
          </w:tcPr>
          <w:p>
            <w:pPr>
              <w:spacing w:before="20" w:after="20"/>
              <w:jc w:val="left"/>
              <w:rPr>
                <w:b w:val="0"/>
                <w:sz w:val="24"/>
              </w:rPr>
            </w:pPr>
            <w:r>
              <w:rPr>
                <w:b w:val="0"/>
                <w:sz w:val="24"/>
              </w:rPr>
              <w:t>Пряко възлагане на поръчка на публични банки или институции</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12.1. Описание на другата процедура за избор на органа, изпълняващ финансовия инструмент</w:t>
            </w:r>
          </w:p>
        </w:tc>
        <w:tc>
          <w:tcPr>
            <w:tcW w:w="0" w:type="auto"/>
            <w:shd w:val="clear" w:color="auto" w:fill="FFFFFF"/>
            <w:noWrap w:val="0"/>
            <w:tcMar>
              <w:top w:w="20" w:type="dxa"/>
              <w:left w:w="20" w:type="dxa"/>
              <w:bottom w:w="20" w:type="dxa"/>
            </w:tcMar>
            <w:vAlign w:val="top"/>
          </w:tcPr>
          <w:p>
            <w:pPr>
              <w:spacing w:before="20" w:after="20"/>
              <w:jc w:val="lef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13. Дата на подписване на споразумението за финансиране с органа, изпълняващ финансовия инструмент</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03.09.2020</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IV. Общ размер на приноса от програмата, по приоритет или мярка, изплатен на финансовия инструмент, както и направени разходи за управление или платени такси за управление (член 46, параграф 2, букви г) и д) от Регламент (ЕС) № 1303/2013)</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14. Общ размер на финансовото участие на програмата, за който е поето задължение в споразумението за финансиране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15 294 118,00</w:t>
            </w:r>
          </w:p>
          <w:p>
            <w:pPr>
              <w:spacing w:before="20" w:after="20"/>
              <w:jc w:val="right"/>
              <w:rPr>
                <w:b w:val="0"/>
                <w:sz w:val="24"/>
              </w:rPr>
            </w:pPr>
            <w:r>
              <w:rPr>
                <w:b w:val="0"/>
                <w:sz w:val="24"/>
              </w:rPr>
              <w:t>M06: 1 764 706,00</w:t>
            </w:r>
          </w:p>
          <w:p>
            <w:pPr>
              <w:spacing w:before="20" w:after="20"/>
              <w:jc w:val="right"/>
              <w:rPr>
                <w:b w:val="0"/>
                <w:sz w:val="24"/>
              </w:rPr>
            </w:pPr>
            <w:r>
              <w:rPr>
                <w:b w:val="0"/>
                <w:sz w:val="24"/>
              </w:rPr>
              <w:t>M19: 2 941 176,00</w:t>
            </w:r>
          </w:p>
          <w:p>
            <w:pPr>
              <w:spacing w:before="20" w:after="20"/>
              <w:jc w:val="right"/>
              <w:rPr>
                <w:b w:val="0"/>
                <w:sz w:val="24"/>
              </w:rPr>
            </w:pPr>
            <w:r>
              <w:rPr>
                <w:b w:val="0"/>
                <w:sz w:val="24"/>
              </w:rPr>
              <w:t>Total: 20 000 000,00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14.1. от които участие на ЕСИ фондове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13 000 000,00</w:t>
            </w:r>
          </w:p>
          <w:p>
            <w:pPr>
              <w:spacing w:before="20" w:after="20"/>
              <w:jc w:val="right"/>
              <w:rPr>
                <w:b w:val="0"/>
                <w:sz w:val="24"/>
              </w:rPr>
            </w:pPr>
            <w:r>
              <w:rPr>
                <w:b w:val="0"/>
                <w:sz w:val="24"/>
              </w:rPr>
              <w:t>M06: 1 500 000,00</w:t>
            </w:r>
          </w:p>
          <w:p>
            <w:pPr>
              <w:spacing w:before="20" w:after="20"/>
              <w:jc w:val="right"/>
              <w:rPr>
                <w:b w:val="0"/>
                <w:sz w:val="24"/>
              </w:rPr>
            </w:pPr>
            <w:r>
              <w:rPr>
                <w:b w:val="0"/>
                <w:sz w:val="24"/>
              </w:rPr>
              <w:t>M19: 2 500 000,00</w:t>
            </w:r>
          </w:p>
          <w:p>
            <w:pPr>
              <w:spacing w:before="20" w:after="20"/>
              <w:jc w:val="right"/>
              <w:rPr>
                <w:b w:val="0"/>
                <w:sz w:val="24"/>
              </w:rPr>
            </w:pPr>
            <w:r>
              <w:rPr>
                <w:b w:val="0"/>
                <w:sz w:val="24"/>
              </w:rPr>
              <w:t>Total: 17 000 000,00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14.1.1. от които ЕФРР (в евро) (незадължително)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14.1.2. от които Кохезионен фонд (в евро) (незадължително)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14.1.3. от които ЕСФ (в евро) (незадължително)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14.1.4. от които ЕЗФРСР (в евро) (незадължително)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13 000 000,00</w:t>
            </w:r>
          </w:p>
          <w:p>
            <w:pPr>
              <w:spacing w:before="20" w:after="20"/>
              <w:jc w:val="right"/>
              <w:rPr>
                <w:b w:val="0"/>
                <w:sz w:val="24"/>
              </w:rPr>
            </w:pPr>
            <w:r>
              <w:rPr>
                <w:b w:val="0"/>
                <w:sz w:val="24"/>
              </w:rPr>
              <w:t>M06: 1 500 000,00</w:t>
            </w:r>
          </w:p>
          <w:p>
            <w:pPr>
              <w:spacing w:before="20" w:after="20"/>
              <w:jc w:val="right"/>
              <w:rPr>
                <w:b w:val="0"/>
                <w:sz w:val="24"/>
              </w:rPr>
            </w:pPr>
            <w:r>
              <w:rPr>
                <w:b w:val="0"/>
                <w:sz w:val="24"/>
              </w:rPr>
              <w:t>M19: 2 500 000,00</w:t>
            </w:r>
          </w:p>
          <w:p>
            <w:pPr>
              <w:spacing w:before="20" w:after="20"/>
              <w:jc w:val="right"/>
              <w:rPr>
                <w:b w:val="0"/>
                <w:sz w:val="24"/>
              </w:rPr>
            </w:pPr>
            <w:r>
              <w:rPr>
                <w:b w:val="0"/>
                <w:sz w:val="24"/>
              </w:rPr>
              <w:t>Total: 17 000 000,00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14.1.5. от които ЕФМДР (в евро) (незадължително)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 Общ размер на финансовото участие на програмата, изплатено на финансовия инструмент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3,823,529.00</w:t>
            </w:r>
          </w:p>
          <w:p>
            <w:pPr>
              <w:spacing w:before="20" w:after="20"/>
              <w:jc w:val="right"/>
              <w:rPr>
                <w:b w:val="0"/>
                <w:sz w:val="24"/>
              </w:rPr>
            </w:pPr>
            <w:r>
              <w:rPr>
                <w:b w:val="0"/>
                <w:sz w:val="24"/>
              </w:rPr>
              <w:t>M06: 441,177.00</w:t>
            </w:r>
          </w:p>
          <w:p>
            <w:pPr>
              <w:spacing w:before="20" w:after="20"/>
              <w:jc w:val="right"/>
              <w:rPr>
                <w:b w:val="0"/>
                <w:sz w:val="24"/>
              </w:rPr>
            </w:pPr>
            <w:r>
              <w:rPr>
                <w:b w:val="0"/>
                <w:sz w:val="24"/>
              </w:rPr>
              <w:t>M19: 735,294.00</w:t>
            </w:r>
          </w:p>
          <w:p>
            <w:pPr>
              <w:spacing w:before="20" w:after="20"/>
              <w:jc w:val="right"/>
              <w:rPr>
                <w:b w:val="0"/>
                <w:sz w:val="24"/>
              </w:rPr>
            </w:pPr>
            <w:r>
              <w:rPr>
                <w:b w:val="0"/>
                <w:sz w:val="24"/>
              </w:rPr>
              <w:t>Total: 5,000,000.00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15.1. от които стойност на участието на ЕСИ фондове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3,250,000.00</w:t>
            </w:r>
          </w:p>
          <w:p>
            <w:pPr>
              <w:spacing w:before="20" w:after="20"/>
              <w:jc w:val="right"/>
              <w:rPr>
                <w:b w:val="0"/>
                <w:sz w:val="24"/>
              </w:rPr>
            </w:pPr>
            <w:r>
              <w:rPr>
                <w:b w:val="0"/>
                <w:sz w:val="24"/>
              </w:rPr>
              <w:t>M06: 375,000.00</w:t>
            </w:r>
          </w:p>
          <w:p>
            <w:pPr>
              <w:spacing w:before="20" w:after="20"/>
              <w:jc w:val="right"/>
              <w:rPr>
                <w:b w:val="0"/>
                <w:sz w:val="24"/>
              </w:rPr>
            </w:pPr>
            <w:r>
              <w:rPr>
                <w:b w:val="0"/>
                <w:sz w:val="24"/>
              </w:rPr>
              <w:t>M19: 625,000.00</w:t>
            </w:r>
          </w:p>
          <w:p>
            <w:pPr>
              <w:spacing w:before="20" w:after="20"/>
              <w:jc w:val="right"/>
              <w:rPr>
                <w:b w:val="0"/>
                <w:sz w:val="24"/>
              </w:rPr>
            </w:pPr>
            <w:r>
              <w:rPr>
                <w:b w:val="0"/>
                <w:sz w:val="24"/>
              </w:rPr>
              <w:t>Total: 4,250,000.00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15.1.1. от които ЕФРР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15.1.2. от които Кохезионен фонд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15.1.3. от които ЕСФ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15.1.4. от които ЕЗФРСР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3 250 000,00</w:t>
            </w:r>
          </w:p>
          <w:p>
            <w:pPr>
              <w:spacing w:before="20" w:after="20"/>
              <w:jc w:val="right"/>
              <w:rPr>
                <w:b w:val="0"/>
                <w:sz w:val="24"/>
              </w:rPr>
            </w:pPr>
            <w:r>
              <w:rPr>
                <w:b w:val="0"/>
                <w:sz w:val="24"/>
              </w:rPr>
              <w:t>M06: 375 000,00</w:t>
            </w:r>
          </w:p>
          <w:p>
            <w:pPr>
              <w:spacing w:before="20" w:after="20"/>
              <w:jc w:val="right"/>
              <w:rPr>
                <w:b w:val="0"/>
                <w:sz w:val="24"/>
              </w:rPr>
            </w:pPr>
            <w:r>
              <w:rPr>
                <w:b w:val="0"/>
                <w:sz w:val="24"/>
              </w:rPr>
              <w:t>M19: 625 000,00</w:t>
            </w:r>
          </w:p>
          <w:p>
            <w:pPr>
              <w:spacing w:before="20" w:after="20"/>
              <w:jc w:val="right"/>
              <w:rPr>
                <w:b w:val="0"/>
                <w:sz w:val="24"/>
              </w:rPr>
            </w:pPr>
            <w:r>
              <w:rPr>
                <w:b w:val="0"/>
                <w:sz w:val="24"/>
              </w:rPr>
              <w:t>Total: 4 250 000,00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15.1.5. от които ЕФМДР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15.2. от които общ размер национално съфинансиране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573,529.00</w:t>
            </w:r>
          </w:p>
          <w:p>
            <w:pPr>
              <w:spacing w:before="20" w:after="20"/>
              <w:jc w:val="right"/>
              <w:rPr>
                <w:b w:val="0"/>
                <w:sz w:val="24"/>
              </w:rPr>
            </w:pPr>
            <w:r>
              <w:rPr>
                <w:b w:val="0"/>
                <w:sz w:val="24"/>
              </w:rPr>
              <w:t>M06: 66,177.00</w:t>
            </w:r>
          </w:p>
          <w:p>
            <w:pPr>
              <w:spacing w:before="20" w:after="20"/>
              <w:jc w:val="right"/>
              <w:rPr>
                <w:b w:val="0"/>
                <w:sz w:val="24"/>
              </w:rPr>
            </w:pPr>
            <w:r>
              <w:rPr>
                <w:b w:val="0"/>
                <w:sz w:val="24"/>
              </w:rPr>
              <w:t>M19: 110,294.00</w:t>
            </w:r>
          </w:p>
          <w:p>
            <w:pPr>
              <w:spacing w:before="20" w:after="20"/>
              <w:jc w:val="right"/>
              <w:rPr>
                <w:b w:val="0"/>
                <w:sz w:val="24"/>
              </w:rPr>
            </w:pPr>
            <w:r>
              <w:rPr>
                <w:b w:val="0"/>
                <w:sz w:val="24"/>
              </w:rPr>
              <w:t>Other: 0.00</w:t>
            </w:r>
          </w:p>
          <w:p>
            <w:pPr>
              <w:spacing w:before="20" w:after="20"/>
              <w:jc w:val="right"/>
              <w:rPr>
                <w:b w:val="0"/>
                <w:sz w:val="24"/>
              </w:rPr>
            </w:pPr>
            <w:r>
              <w:rPr>
                <w:b w:val="0"/>
                <w:sz w:val="24"/>
              </w:rPr>
              <w:t>Total: 750,000.00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15.2.1. от които общ размер национално публично финансиране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573 529,00</w:t>
            </w:r>
          </w:p>
          <w:p>
            <w:pPr>
              <w:spacing w:before="20" w:after="20"/>
              <w:jc w:val="right"/>
              <w:rPr>
                <w:b w:val="0"/>
                <w:sz w:val="24"/>
              </w:rPr>
            </w:pPr>
            <w:r>
              <w:rPr>
                <w:b w:val="0"/>
                <w:sz w:val="24"/>
              </w:rPr>
              <w:t>M06: 66 177,00</w:t>
            </w:r>
          </w:p>
          <w:p>
            <w:pPr>
              <w:spacing w:before="20" w:after="20"/>
              <w:jc w:val="right"/>
              <w:rPr>
                <w:b w:val="0"/>
                <w:sz w:val="24"/>
              </w:rPr>
            </w:pPr>
            <w:r>
              <w:rPr>
                <w:b w:val="0"/>
                <w:sz w:val="24"/>
              </w:rPr>
              <w:t>M19: 110 294,00</w:t>
            </w:r>
          </w:p>
          <w:p>
            <w:pPr>
              <w:spacing w:before="20" w:after="20"/>
              <w:jc w:val="right"/>
              <w:rPr>
                <w:b w:val="0"/>
                <w:sz w:val="24"/>
              </w:rPr>
            </w:pPr>
            <w:r>
              <w:rPr>
                <w:b w:val="0"/>
                <w:sz w:val="24"/>
              </w:rPr>
              <w:t>Total: 750 000,00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15.2.2. от които общ размер национално частно финансиране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16. Общ размер на финансовото участие на програмата, изплатено на финансовия инструмент съгласно Инициативата за младежка заетост (ИМЗ)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17. Общ размер на разходите за управление и таксите за управление, платени със средства от програмата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84 222,00</w:t>
            </w:r>
          </w:p>
          <w:p>
            <w:pPr>
              <w:spacing w:before="20" w:after="20"/>
              <w:jc w:val="right"/>
              <w:rPr>
                <w:b w:val="0"/>
                <w:sz w:val="24"/>
              </w:rPr>
            </w:pPr>
            <w:r>
              <w:rPr>
                <w:b w:val="0"/>
                <w:sz w:val="24"/>
              </w:rPr>
              <w:t>M06: 9 718,00</w:t>
            </w:r>
          </w:p>
          <w:p>
            <w:pPr>
              <w:spacing w:before="20" w:after="20"/>
              <w:jc w:val="right"/>
              <w:rPr>
                <w:b w:val="0"/>
                <w:sz w:val="24"/>
              </w:rPr>
            </w:pPr>
            <w:r>
              <w:rPr>
                <w:b w:val="0"/>
                <w:sz w:val="24"/>
              </w:rPr>
              <w:t>M19: 16 197,00</w:t>
            </w:r>
          </w:p>
          <w:p>
            <w:pPr>
              <w:spacing w:before="20" w:after="20"/>
              <w:jc w:val="right"/>
              <w:rPr>
                <w:b w:val="0"/>
                <w:sz w:val="24"/>
              </w:rPr>
            </w:pPr>
            <w:r>
              <w:rPr>
                <w:b w:val="0"/>
                <w:sz w:val="24"/>
              </w:rPr>
              <w:t>Total: 110 137,00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17.1. от които за основно възнаграждение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M04: 84 222,00</w:t>
            </w:r>
          </w:p>
          <w:p>
            <w:pPr>
              <w:spacing w:before="20" w:after="20"/>
              <w:jc w:val="right"/>
              <w:rPr>
                <w:b w:val="0"/>
                <w:sz w:val="24"/>
              </w:rPr>
            </w:pPr>
            <w:r>
              <w:rPr>
                <w:b w:val="0"/>
                <w:sz w:val="24"/>
              </w:rPr>
              <w:t>M06: 9 718,00</w:t>
            </w:r>
          </w:p>
          <w:p>
            <w:pPr>
              <w:spacing w:before="20" w:after="20"/>
              <w:jc w:val="right"/>
              <w:rPr>
                <w:b w:val="0"/>
                <w:sz w:val="24"/>
              </w:rPr>
            </w:pPr>
            <w:r>
              <w:rPr>
                <w:b w:val="0"/>
                <w:sz w:val="24"/>
              </w:rPr>
              <w:t>M19: 16 197,00</w:t>
            </w:r>
          </w:p>
          <w:p>
            <w:pPr>
              <w:spacing w:before="20" w:after="20"/>
              <w:jc w:val="right"/>
              <w:rPr>
                <w:b w:val="0"/>
                <w:sz w:val="24"/>
              </w:rPr>
            </w:pPr>
            <w:r>
              <w:rPr>
                <w:b w:val="0"/>
                <w:sz w:val="24"/>
              </w:rPr>
              <w:t>Total: 110 137,00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17.2. от които за възнаграждение, обвързано с резултатите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18. Капитализирани разходи за управление или такси за управление съгласно член 42, параграф 2 от Регламент (ЕС) № 1303/2013 (приложимо само за окончателния доклад)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19. Капитализирано субсидиране на лихвата или субсидиране на гаранционната такса съгласно член 42, параграф 1, буква в) от Регламент (ЕС) № 1303/2013 (отнася се само за окончателен доклад)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20. Размер на приноса от програмата за последващи инвестиции в крайни получатели съгласно член 42, параграф 3 от Регламент (ЕС) № 1303/2013 (отнася се само за окончателен доклад)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21. Принос за земя и/или недвижима собственост във финансовия инструмент съгласно член 37, параграф 10 от Регламент (ЕС) № 1303/2013 (отнася се само за окончателен доклад)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VI. Изпълнението на финансовия инструмент, включително на напредъка по отношение на неговото създаване и на избора на органите, изпълняващи финансовия инструмент (включително органа, прилагащ финансирането от фонд — част от фондова структура) (член 46, параграф 2, буква е) от Регламент (ЕС) № 1303/2013)</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32. Информация дали финансовият инструмент все още е функционирал в края на отчетната година</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Да</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32.1. Ако финансовият инструмент не е функционирал в края на отчетната година — датата на приключване</w:t>
            </w:r>
          </w:p>
        </w:tc>
        <w:tc>
          <w:tcPr>
            <w:tcW w:w="0" w:type="auto"/>
            <w:shd w:val="clear" w:color="auto" w:fill="FFFFFF"/>
            <w:noWrap w:val="0"/>
            <w:tcMar>
              <w:top w:w="20" w:type="dxa"/>
              <w:left w:w="20" w:type="dxa"/>
              <w:bottom w:w="20" w:type="dxa"/>
            </w:tcMar>
            <w:vAlign w:val="top"/>
          </w:tcPr>
          <w:p>
            <w:pPr>
              <w:spacing w:before="20" w:after="20"/>
              <w:jc w:val="right"/>
              <w:rPr>
                <w:b w:val="0"/>
                <w:sz w:val="24"/>
              </w:rPr>
            </w:pP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VII. Лихви и други печалби, генерирани от подкрепата от европейските структурни и инвестиционни фондове за финансовия инструмент, програмни средства, възстановени на финансовия инструмент от инвестиции, както е посочено в членове 43 и 44, суми, използвани за диференцирано третиране, както е посочено в член 43а, и стойността на капиталовите инвестиции спрямо предходни години (член 46, параграф 2, букви ж) и и) от Регламент (ЕС) № 1303/2013)</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35. Лихви и други печалби, генерирани от плащания от ЕСИ фондове към финансовия инструмент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37. Размер на средствата, които могат да бъдат отнесени към европейските структурни и инвестиционни фондове и са използвани съгласно членове 44 и 43а</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37.1. от които — суми, платени за диференцирано третиране на инвеститори, работещи съгласно принципа на пазарната икономика, които предоставят насрещни ресурси към подкрепата от европейските структурни и инвестиционни фондове на финансовия инструмент или които инвестират съвместно на равнището на крайния получател (в EUR)</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37.2. от които суми за възстановяване на направени разходи за управление и заплащане на такси за управление на финансовия инструмент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37.3. от които — суми за покриване на загубите в номиналния размер на финансовото участие на европейските структурни и инвестиционни фондове за финансовия инструмент в резултат на отрицателни лихви, ако тези загуби възникнат въпреки активното управление на касовите наличности от структурите, изпълняващи финансови инструменти (в EUR)</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VIII. Напредък в постигането на очаквания лостов ефект на инвестициите, направени от финансовия инструмент, и стойност на инвестициите и участията (член 46, параграф 2, буква з) от Регламент (ЕС) № 1303/2013)</w:t>
            </w:r>
          </w:p>
        </w:tc>
      </w:tr>
      <w:tr>
        <w:tblPrEx>
          <w:tblW w:w="5000" w:type="pct"/>
          <w:tblCellMar>
            <w:left w:w="108" w:type="dxa"/>
            <w:right w:w="108" w:type="dxa"/>
          </w:tblCellMar>
        </w:tblPrEx>
        <w:trPr>
          <w:trHeight w:hRule="auto" w:val="0"/>
        </w:trPr>
        <w:tc>
          <w:tcPr>
            <w:tcW w:w="0" w:type="auto"/>
            <w:gridSpan w:val="2"/>
            <w:shd w:val="clear" w:color="auto" w:fill="FFFFFF"/>
            <w:noWrap w:val="0"/>
            <w:tcMar>
              <w:top w:w="20" w:type="dxa"/>
              <w:left w:w="20" w:type="dxa"/>
              <w:bottom w:w="20" w:type="dxa"/>
            </w:tcMar>
            <w:vAlign w:val="center"/>
          </w:tcPr>
          <w:p>
            <w:pPr>
              <w:rPr>
                <w:b/>
                <w:sz w:val="24"/>
              </w:rPr>
            </w:pPr>
            <w:r>
              <w:rPr>
                <w:b/>
                <w:sz w:val="24"/>
              </w:rPr>
              <w:t>38. Общ размер на другия принос, извън ЕСИ фондовете, набран от финансовия инструмент (в евро)</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38.1. Общ размер на другите участия (извън ЕСИ фондовете), за които е поет ангажимент в споразумението за финансиране с органа, изпълняващ финансовия инструмент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3 000 046,00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38.1A. Участие по финансовия продукт на ЕИБ, за което е поето задължение в рамките на споразумението за финансиране с органа, изпълняващ финансовия инструмент (само за инструменти по член 38, параграф 1, буква в) (в EUR)</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38.2. Общ размер на другите участия (извън ЕСИ фондовете), изплатени на финансовия инструмент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750 000,00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38.2.1. от които държавно участие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750 000,00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38.2.2. от които частни участия (в евро)</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r>
        <w:tblPrEx>
          <w:tblW w:w="5000" w:type="pct"/>
          <w:tblCellMar>
            <w:left w:w="108" w:type="dxa"/>
            <w:right w:w="108" w:type="dxa"/>
          </w:tblCellMar>
        </w:tblPrEx>
        <w:trPr>
          <w:trHeight w:hRule="auto" w:val="0"/>
        </w:trPr>
        <w:tc>
          <w:tcPr>
            <w:tcW w:w="3300" w:type="pct"/>
            <w:shd w:val="clear" w:color="auto" w:fill="FFFFFF"/>
            <w:noWrap w:val="0"/>
            <w:tcMar>
              <w:top w:w="20" w:type="dxa"/>
              <w:left w:w="20" w:type="dxa"/>
              <w:bottom w:w="20" w:type="dxa"/>
            </w:tcMar>
            <w:vAlign w:val="top"/>
          </w:tcPr>
          <w:p>
            <w:pPr>
              <w:spacing w:before="20" w:after="20"/>
              <w:jc w:val="left"/>
              <w:rPr>
                <w:b w:val="0"/>
                <w:sz w:val="24"/>
              </w:rPr>
            </w:pPr>
            <w:r>
              <w:rPr>
                <w:b w:val="0"/>
                <w:sz w:val="24"/>
              </w:rPr>
              <w:t>38.2A. Участие по финансовия продукт на ЕИБ, изплатено към ФИ (само за инструменти по член 38, параграф 1, буква в) (в EUR)</w:t>
            </w:r>
          </w:p>
        </w:tc>
        <w:tc>
          <w:tcPr>
            <w:tcW w:w="0" w:type="auto"/>
            <w:shd w:val="clear" w:color="auto" w:fill="FFFFFF"/>
            <w:noWrap w:val="0"/>
            <w:tcMar>
              <w:top w:w="20" w:type="dxa"/>
              <w:left w:w="20" w:type="dxa"/>
              <w:bottom w:w="20" w:type="dxa"/>
            </w:tcMar>
            <w:vAlign w:val="top"/>
          </w:tcPr>
          <w:p>
            <w:pPr>
              <w:spacing w:before="20" w:after="20"/>
              <w:jc w:val="right"/>
              <w:rPr>
                <w:b w:val="0"/>
                <w:sz w:val="24"/>
              </w:rPr>
            </w:pPr>
            <w:r>
              <w:rPr>
                <w:b w:val="0"/>
                <w:sz w:val="24"/>
              </w:rPr>
              <w:t>0,00</w:t>
            </w:r>
          </w:p>
        </w:tc>
      </w:tr>
    </w:tbl>
    <w:p>
      <w:pPr>
        <w:jc w:val="center"/>
        <w:rPr>
          <w:b w:val="0"/>
          <w:sz w:val="16"/>
        </w:rPr>
        <w:sectPr>
          <w:pgMar w:top="900" w:right="900" w:bottom="900" w:left="900" w:header="720" w:footer="720"/>
          <w:cols w:space="720"/>
        </w:sectPr>
      </w:pPr>
    </w:p>
    <w:p>
      <w:pPr>
        <w:pStyle w:val="Heading1"/>
      </w:pPr>
      <w:bookmarkStart w:id="31" w:name="_Toc256000031"/>
      <w:r>
        <w:t>Кодиращи таблици за общи и специфични за програмата показатели и количествени целеви стойности</w:t>
      </w:r>
      <w:bookmarkEnd w:id="31"/>
    </w:p>
    <w:p>
      <w:r>
        <w:t>Към приложението за мониторинг</w:t>
      </w:r>
    </w:p>
    <w:p>
      <w:pPr>
        <w:pStyle w:val="Subtitle"/>
        <w:rPr>
          <w:sz w:val="24"/>
        </w:rPr>
      </w:pPr>
      <w:r>
        <w:br w:type="page"/>
      </w:r>
      <w:bookmarkStart w:id="32" w:name="_Toc256000032"/>
      <w:r>
        <w:rPr>
          <w:sz w:val="24"/>
        </w:rPr>
        <w:t>Приложение II</w:t>
      </w:r>
      <w:bookmarkEnd w:id="32"/>
    </w:p>
    <w:p>
      <w:pPr>
        <w:rPr>
          <w:sz w:val="24"/>
        </w:rPr>
      </w:pPr>
      <w:r>
        <w:rPr>
          <w:sz w:val="24"/>
        </w:rPr>
        <w:t>Подробна таблица, представяща нивото на изпълнение за области с поставен акцент, включително показатели за изпълнение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0" w:type="auto"/>
            <w:gridSpan w:val="8"/>
            <w:shd w:val="clear" w:color="auto" w:fill="808080"/>
            <w:noWrap w:val="0"/>
            <w:tcMar>
              <w:top w:w="20" w:type="dxa"/>
              <w:left w:w="20" w:type="dxa"/>
              <w:bottom w:w="20" w:type="dxa"/>
            </w:tcMar>
            <w:vAlign w:val="top"/>
          </w:tcPr>
          <w:p>
            <w:pPr>
              <w:keepNext/>
              <w:spacing w:before="60" w:after="60"/>
              <w:jc w:val="center"/>
              <w:rPr>
                <w:b/>
                <w:sz w:val="20"/>
              </w:rPr>
            </w:pPr>
            <w:r>
              <w:rPr>
                <w:b/>
                <w:sz w:val="20"/>
              </w:rPr>
              <w:t>Акцентирана област 1A</w:t>
            </w:r>
          </w:p>
        </w:tc>
      </w:tr>
      <w:tr>
        <w:tblPrEx>
          <w:tblW w:w="5000" w:type="pct"/>
          <w:tblCellMar>
            <w:left w:w="108" w:type="dxa"/>
            <w:right w:w="108" w:type="dxa"/>
          </w:tblCellMar>
        </w:tblPrEx>
        <w:trPr>
          <w:trHeight w:hRule="auto" w:val="0"/>
        </w:trPr>
        <w:tc>
          <w:tcPr>
            <w:tcW w:w="20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1A</w:t>
            </w:r>
          </w:p>
        </w:tc>
        <w:tc>
          <w:tcPr>
            <w:tcW w:w="1050" w:type="pct"/>
            <w:vMerge w:val="restart"/>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0,41</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16,98</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2,41</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0,33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13,67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9,53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4,56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1B</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1B</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470,00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1C</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1C</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2 030,00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42,29</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4 800,00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2A</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2A</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0,26</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48,16</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0,25</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46,31</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0,54</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46,31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46,31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53,72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40,75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53,72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0,38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70,39</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0,31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57,43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0,31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57,43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0,30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55,57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29,64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2A</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904 737 492,00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166,10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281 844 874,74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51,74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544 682 066,00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2 556 630,00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51,13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9 421 915,00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2 549 981,10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26,57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9 595 431,80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5 473,00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64,69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8 460,00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694 418 500,00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193,27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176 748 722,67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49,19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359 290 503,70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355 789 421,81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63,63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559 165 890,30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176 748 722,67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49,19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359 290 503,70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49,00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29 965 859,90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88 685 508,00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105,65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63 859 059,00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76,07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83 945 294,10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63 816 667,00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76,02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83 945 294,10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7 506,00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170,59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4 400,00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4 998 376,00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34,74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445 006,07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14 388 889,00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81 371 995,00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183,01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38 237 487,00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86,00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44 461 947,40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29 000,00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M22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23 284 568,00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83,16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28 000 000,00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M22</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30 000,00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2B</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2B</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0,98</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98,13</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0,97</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97,13</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0,97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97,13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0,97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97,13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101,13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0,99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99,13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18 864,81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1 888 979,31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0,94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94,12</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73,10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73,10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0,74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74,10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0,74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74,10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0,42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42,06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2B</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307 562 762,00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156,11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125 674 667,82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63,79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197 020 524,40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1 651 824,00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82,59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3 349 888,00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102,93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1 655 313,10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50,86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3 254 531,80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2 188,00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243,11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181 604 050,00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216,06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53 075 886,82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63,15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84 052 971,50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106 643 368,43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76,13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140 088 285,80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86,92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120 957 000,00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112,30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70 938 849,00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65,86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107 713 021,10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71 697 177,00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66,56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107 713 021,10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70 938 849,00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65,86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107 713 021,10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M06.1</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3 580,00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96,76</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3 700,00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2C+</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2C+</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Фирми, получили подпомагане  (брой)</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5,00</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2C+</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20 451 104,00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110,55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979 214,46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5,29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18 500 000,00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20 451 104,00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110,55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979 214,46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5,29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18 500 000,00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M08.6</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979 214,46</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5,29</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18 500 000,00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3A</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3A</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0,12</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306,61</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0,12</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306,61</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0,04</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332,16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306,61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306,61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306,61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127,76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127,76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76,65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76,65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3A</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500 627 139,60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115,42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142 344 146,63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32,82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433 729 720,50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381 840,00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190,92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643 833,60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71,24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332 528,60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36,80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903 715,30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2 764,00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81,29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3 400,00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441 149 736,00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112,77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119 993 739,86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30,67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391 194 274,90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240 898 336,80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30,80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782 052 716,60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p>
            <w:pPr>
              <w:keepNext/>
              <w:spacing w:before="60" w:after="60"/>
              <w:jc w:val="left"/>
              <w:rPr>
                <w:b w:val="0"/>
                <w:sz w:val="16"/>
              </w:rPr>
            </w:pPr>
            <w:r>
              <w:rPr>
                <w:b w:val="0"/>
                <w:sz w:val="16"/>
              </w:rPr>
              <w:t>M04.2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70,91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330,00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5 257 548,00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5 257 548,00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M06.2</w:t>
            </w:r>
          </w:p>
          <w:p>
            <w:pPr>
              <w:keepNext/>
              <w:spacing w:before="60" w:after="60"/>
              <w:jc w:val="left"/>
              <w:rPr>
                <w:b w:val="0"/>
                <w:sz w:val="16"/>
              </w:rPr>
            </w:pPr>
            <w:r>
              <w:rPr>
                <w:b w:val="0"/>
                <w:sz w:val="16"/>
              </w:rPr>
              <w:t>M06.4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M09</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16 771 469,00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180,02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5 744 060,70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61,65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9 316 502,00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M09</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47,50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M09</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O9 - Брой земеделски стопанства, които участват в подпомаганите схеми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328,00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252,31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40 255 163,00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162,31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16 115 129,73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64,97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24 802 124,70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961,00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1 425 098,00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69,33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153 768,01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2 055 555,60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M16.4</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O9 - Брой земеделски стопанства, които участват в подпомаганите схеми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15,00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3B</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3B</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0,02</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3B</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13 841 368,80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48,98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2 465 455,93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8,72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28 259 052,30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2 538 128,00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1 269,06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647 882,80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137,93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336 577,80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71,66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469 715,30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2 684,00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1 491,11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M05</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10 655 358,00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38,62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2 123 958,40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7,70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27 589 337,00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M05.1</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12,00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20,00</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60,00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Приоритет P4</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P4</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0,25</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2,11</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160,06</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1,32</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169,16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169,16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172,95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188,12</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186,61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102,41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2,11</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79,36</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2,66</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83,87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83,87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85,75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93,27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92,52</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50,77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13,03</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107,40</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12,13</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14,19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116,96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13,82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113,91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13,94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114,90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13,60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112,09</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16,47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135,75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14,79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121,90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P4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2 204 640 824,50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194,74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950 192 209,43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83,93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1 132 070 003,60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1 563 482,00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44,60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13 856,69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0,40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3 505 404,40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13 856,69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4 080 503,50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176,40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2 078 321,50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89,85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2 313 178,80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5 653,00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254,64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2 220,00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27 743 172,00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79,36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10 489 906,91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30,01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34 958 350,30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21 555 790,97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37,00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58 263 917,20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280,00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36 022 347,00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175,94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4 215 454,53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20,59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20 474 302,40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4 215 454,53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20,59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20 474 302,40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16,67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M10</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555 494 549,00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229,18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183 335 777,95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75,64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242 384 616,00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48 081,00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42,55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113 000,00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419 211 982,00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179,19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168 563 430,34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72,05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233 943 439,00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3 451,00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M11.2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42 919,00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148,00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29 000,00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419 660 772,00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205,04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198 014 091,79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96,75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204 676 037,70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488 563,00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126,90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385 000,00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M12.2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M12.3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738 044 891,00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192,29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383 074 798,15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99,81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383 814 675,00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M13.1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388 060,00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125,18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310 000,00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M13.2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278 903,00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126,77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M13.3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14 528,00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145,28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2 819 126,00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46,99</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406 571,57</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6,78</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6 000 000,00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5A</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5A</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38,72</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6,82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17,62</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5A</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14 524 038,20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3 042 341,52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79 925 384,00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1 772 974,00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44,32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4 618,90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50,75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467 089,20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134,06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239 431,20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68,72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348 412,90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5 349,00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703,82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11 491 478,00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15,43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2 726 705,10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3,66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74 465 860,00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5 405 817,13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7,26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74 465 860,00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35 000,00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p>
            <w:pPr>
              <w:keepNext/>
              <w:spacing w:before="60" w:after="60"/>
              <w:jc w:val="left"/>
              <w:rPr>
                <w:b w:val="0"/>
                <w:sz w:val="16"/>
              </w:rPr>
            </w:pPr>
            <w:r>
              <w:rPr>
                <w:b w:val="0"/>
                <w:sz w:val="16"/>
              </w:rPr>
              <w:t>M04.3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73,33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792 497,00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71,32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71 586,32</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6,44</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1 111 111,10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5B</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5B</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T15: общи инвестиции за енергийна ефективност (в евро) (област с поставен акцент 5Б)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269 485 411,00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64,31</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179 789 967,00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42,91</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419 024 651,40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233 163 689,00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55,64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157 799 514,37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37,66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156 313 715,13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37,30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100 171 594,00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23,91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86 645 751,01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20,68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18 659 464,00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55 240 936,00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7 750 600,00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13 557 418,00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3,24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8 612 674,23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3 442 239,96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0,82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442 716,77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0,11</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5B</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208 498 076,00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87,51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86 915 554,61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36,48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238 252 422,00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234 478,00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2 550 000,00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5 480,00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521,90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1 050,00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206 245 834,00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88,29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86 071 554,53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36,84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233 605 405,00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179 789 967,00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42,91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419 024 651,40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p>
            <w:pPr>
              <w:keepNext/>
              <w:spacing w:before="60" w:after="60"/>
              <w:jc w:val="left"/>
              <w:rPr>
                <w:b w:val="0"/>
                <w:sz w:val="16"/>
              </w:rPr>
            </w:pPr>
            <w:r>
              <w:rPr>
                <w:b w:val="0"/>
                <w:sz w:val="16"/>
              </w:rPr>
              <w:t>M04.2</w:t>
            </w:r>
          </w:p>
          <w:p>
            <w:pPr>
              <w:keepNext/>
              <w:spacing w:before="60" w:after="60"/>
              <w:jc w:val="left"/>
              <w:rPr>
                <w:b w:val="0"/>
                <w:sz w:val="16"/>
              </w:rPr>
            </w:pPr>
            <w:r>
              <w:rPr>
                <w:b w:val="0"/>
                <w:sz w:val="16"/>
              </w:rPr>
              <w:t>M04.3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320,00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457 612,00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41,19</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38 578,35</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3,47</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1 111 111,10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5C</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5C</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6 015 773,22</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3,90</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2 658 229,00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1,72</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154 266 117,00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10 207 875,38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6,62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10 207 875,00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6,62</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13 126 087,93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8,51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8 971 153,00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5,82</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430 701,00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430 701,00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4 445 644,00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2,88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298 382,00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0,19</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3 679 321,00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2 616 176,94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435 866,93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435 866,93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0,28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5C</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10 186 152,00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8,82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2 271 552,65</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115 476 696,00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300 596,00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54,65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0,89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550 000,00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5 800,00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1 260,87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5 942 845,00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13,88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1 326 708,34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3,10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42 829 679,00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2 658 229,00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84 266 116,90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p>
            <w:pPr>
              <w:keepNext/>
              <w:spacing w:before="60" w:after="60"/>
              <w:jc w:val="left"/>
              <w:rPr>
                <w:b w:val="0"/>
                <w:sz w:val="16"/>
              </w:rPr>
            </w:pPr>
            <w:r>
              <w:rPr>
                <w:b w:val="0"/>
                <w:sz w:val="16"/>
              </w:rPr>
              <w:t>M04.3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32,00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1 508 549,00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M07.2</w:t>
            </w:r>
          </w:p>
          <w:p>
            <w:pPr>
              <w:keepNext/>
              <w:spacing w:before="60" w:after="60"/>
              <w:jc w:val="left"/>
              <w:rPr>
                <w:b w:val="0"/>
                <w:sz w:val="16"/>
              </w:rPr>
            </w:pPr>
            <w:r>
              <w:rPr>
                <w:b w:val="0"/>
                <w:sz w:val="16"/>
              </w:rPr>
              <w:t>M07.3</w:t>
            </w:r>
          </w:p>
          <w:p>
            <w:pPr>
              <w:keepNext/>
              <w:spacing w:before="60" w:after="60"/>
              <w:jc w:val="left"/>
              <w:rPr>
                <w:b w:val="0"/>
                <w:sz w:val="16"/>
              </w:rPr>
            </w:pPr>
            <w:r>
              <w:rPr>
                <w:b w:val="0"/>
                <w:sz w:val="16"/>
              </w:rPr>
              <w:t>M07.4</w:t>
            </w:r>
          </w:p>
          <w:p>
            <w:pPr>
              <w:keepNext/>
              <w:spacing w:before="60" w:after="60"/>
              <w:jc w:val="left"/>
              <w:rPr>
                <w:b w:val="0"/>
                <w:sz w:val="16"/>
              </w:rPr>
            </w:pPr>
            <w:r>
              <w:rPr>
                <w:b w:val="0"/>
                <w:sz w:val="16"/>
              </w:rPr>
              <w:t>M07.5</w:t>
            </w:r>
          </w:p>
          <w:p>
            <w:pPr>
              <w:keepNext/>
              <w:spacing w:before="60" w:after="60"/>
              <w:jc w:val="left"/>
              <w:rPr>
                <w:b w:val="0"/>
                <w:sz w:val="16"/>
              </w:rPr>
            </w:pPr>
            <w:r>
              <w:rPr>
                <w:b w:val="0"/>
                <w:sz w:val="16"/>
              </w:rPr>
              <w:t>M07.6</w:t>
            </w:r>
          </w:p>
          <w:p>
            <w:pPr>
              <w:keepNext/>
              <w:spacing w:before="60" w:after="60"/>
              <w:jc w:val="left"/>
              <w:rPr>
                <w:b w:val="0"/>
                <w:sz w:val="16"/>
              </w:rPr>
            </w:pPr>
            <w:r>
              <w:rPr>
                <w:b w:val="0"/>
                <w:sz w:val="16"/>
              </w:rPr>
              <w:t>M07.7</w:t>
            </w:r>
          </w:p>
          <w:p>
            <w:pPr>
              <w:keepNext/>
              <w:spacing w:before="60" w:after="60"/>
              <w:jc w:val="left"/>
              <w:rPr>
                <w:b w:val="0"/>
                <w:sz w:val="16"/>
              </w:rPr>
            </w:pPr>
            <w:r>
              <w:rPr>
                <w:b w:val="0"/>
                <w:sz w:val="16"/>
              </w:rPr>
              <w:t>M07.8</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874 010,00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78,66</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139 422,58</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12,55</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1 111 111,10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5D</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5D</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0,70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447,55</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0,16</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0,70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447,55</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0,62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396,40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0,64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409,19</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0,67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428,37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0,63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402,80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0,54</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345,26</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0,09</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51,73</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0,17</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51,73</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5D</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74 954 319,00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159,14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34 393 384,03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73,02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47 098 272,00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419 488,00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11,35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0,13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3 694 595,00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2,46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5 800,00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261,26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2 220,00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3 574 152,00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273,53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715 079,00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54,73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1 306 660,00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1 629 629,48</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74,83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2 177 766,10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p>
            <w:pPr>
              <w:keepNext/>
              <w:spacing w:before="60" w:after="60"/>
              <w:jc w:val="left"/>
              <w:rPr>
                <w:b w:val="0"/>
                <w:sz w:val="16"/>
              </w:rPr>
            </w:pPr>
            <w:r>
              <w:rPr>
                <w:b w:val="0"/>
                <w:sz w:val="16"/>
              </w:rPr>
              <w:t>M04.3</w:t>
            </w:r>
          </w:p>
          <w:p>
            <w:pPr>
              <w:keepNext/>
              <w:spacing w:before="60" w:after="60"/>
              <w:jc w:val="left"/>
              <w:rPr>
                <w:b w:val="0"/>
                <w:sz w:val="16"/>
              </w:rPr>
            </w:pPr>
            <w:r>
              <w:rPr>
                <w:b w:val="0"/>
                <w:sz w:val="16"/>
              </w:rPr>
              <w:t>M04.4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73,33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M04.1</w:t>
            </w:r>
          </w:p>
          <w:p>
            <w:pPr>
              <w:keepNext/>
              <w:spacing w:before="60" w:after="60"/>
              <w:jc w:val="left"/>
              <w:rPr>
                <w:b w:val="0"/>
                <w:sz w:val="16"/>
              </w:rPr>
            </w:pPr>
            <w:r>
              <w:rPr>
                <w:b w:val="0"/>
                <w:sz w:val="16"/>
              </w:rPr>
              <w:t>M04.3</w:t>
            </w:r>
          </w:p>
          <w:p>
            <w:pPr>
              <w:keepNext/>
              <w:spacing w:before="60" w:after="60"/>
              <w:jc w:val="left"/>
              <w:rPr>
                <w:b w:val="0"/>
                <w:sz w:val="16"/>
              </w:rPr>
            </w:pPr>
            <w:r>
              <w:rPr>
                <w:b w:val="0"/>
                <w:sz w:val="16"/>
              </w:rPr>
              <w:t>M04.4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O8 - Брой на подпомаганите животински единици (ЖЕ)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1 000,00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50,00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M10</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68 942 657,00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172,36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32 793 444,59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81,98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15 159,00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216,56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457 870,00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41,21</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79 438,71</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7,15</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1 111 111,10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5E</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5E</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5E</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5 700 303,00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76,77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1 389 169,73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18,71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7 425 187,80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1 011 664,00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77,82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0,38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1 300 000,00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4 919,73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M01.1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O12 - Брой на участниците в обучения</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101,50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1 560 152,00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158,25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800 502,00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985 905,90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O13 - Брой на консултираните бенефициери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5 800,00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261,26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2 220,00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3 085 433,00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76,60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583 748,00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14,49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4 028 170,80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583 748,00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35,79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1 631 112,00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O5 - Обща площ (ha)</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M08.4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2 397 058,80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M16</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43 054,00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3,87</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1 111 111,10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6A</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6A</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T20: работни места, разкрити в подпомогнатите проекти (област с поставен акцент 6А)</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2 094,00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59,83</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3 500,00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1 882,00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53,77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1 224,00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34,97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972,00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27,77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706,00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20,17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234,00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6,69</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6A</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77 988 454,00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88,25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11 968 798,00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13,54</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88 370 718,70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74 098 097,00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93,17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8 088 440,00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79 526 861,20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O2 - Общ размер на инвестициите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9 270 475,10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5,83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159 053 722,40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M06.2</w:t>
            </w:r>
          </w:p>
          <w:p>
            <w:pPr>
              <w:keepNext/>
              <w:spacing w:before="60" w:after="60"/>
              <w:jc w:val="left"/>
              <w:rPr>
                <w:b w:val="0"/>
                <w:sz w:val="16"/>
              </w:rPr>
            </w:pPr>
            <w:r>
              <w:rPr>
                <w:b w:val="0"/>
                <w:sz w:val="16"/>
              </w:rPr>
              <w:t>M06.4</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69,00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10,95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630,00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3 890 357,00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100,26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3 880 358,00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100,00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3 880 357,50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M21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190,00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M22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4 963 500,00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M22</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O4 - Брой на стопанствата/бенефициерите,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60,00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6B</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6B</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216,00</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36,00</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600,00</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70,34</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210,87</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33,36</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46,09</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138,17</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38,06</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114,10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16,21</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48,59</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4,57</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13,70</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27,53</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120,18</w:t>
            </w: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22,91</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27,53</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120,18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16,42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71,68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16,42</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71,68</w:t>
            </w: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6B</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1 578 467 524,10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203,41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539 928 208,00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69,58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776 019 714,80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1 294 352 655,00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213,36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495 232 868,00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81,63</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606 663 542,40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M07.1</w:t>
            </w:r>
          </w:p>
          <w:p>
            <w:pPr>
              <w:keepNext/>
              <w:spacing w:before="60" w:after="60"/>
              <w:jc w:val="left"/>
              <w:rPr>
                <w:b w:val="0"/>
                <w:sz w:val="16"/>
              </w:rPr>
            </w:pPr>
            <w:r>
              <w:rPr>
                <w:b w:val="0"/>
                <w:sz w:val="16"/>
              </w:rPr>
              <w:t>M07.2</w:t>
            </w:r>
          </w:p>
          <w:p>
            <w:pPr>
              <w:keepNext/>
              <w:spacing w:before="60" w:after="60"/>
              <w:jc w:val="left"/>
              <w:rPr>
                <w:b w:val="0"/>
                <w:sz w:val="16"/>
              </w:rPr>
            </w:pPr>
            <w:r>
              <w:rPr>
                <w:b w:val="0"/>
                <w:sz w:val="16"/>
              </w:rPr>
              <w:t>M07.4</w:t>
            </w:r>
          </w:p>
          <w:p>
            <w:pPr>
              <w:keepNext/>
              <w:spacing w:before="60" w:after="60"/>
              <w:jc w:val="left"/>
              <w:rPr>
                <w:b w:val="0"/>
                <w:sz w:val="16"/>
              </w:rPr>
            </w:pPr>
            <w:r>
              <w:rPr>
                <w:b w:val="0"/>
                <w:sz w:val="16"/>
              </w:rPr>
              <w:t>M07.5</w:t>
            </w:r>
          </w:p>
          <w:p>
            <w:pPr>
              <w:keepNext/>
              <w:spacing w:before="60" w:after="60"/>
              <w:jc w:val="left"/>
              <w:rPr>
                <w:b w:val="0"/>
                <w:sz w:val="16"/>
              </w:rPr>
            </w:pPr>
            <w:r>
              <w:rPr>
                <w:b w:val="0"/>
                <w:sz w:val="16"/>
              </w:rPr>
              <w:t>M07.6</w:t>
            </w:r>
          </w:p>
          <w:p>
            <w:pPr>
              <w:keepNext/>
              <w:spacing w:before="60" w:after="60"/>
              <w:jc w:val="left"/>
              <w:rPr>
                <w:b w:val="0"/>
                <w:sz w:val="16"/>
              </w:rPr>
            </w:pPr>
            <w:r>
              <w:rPr>
                <w:b w:val="0"/>
                <w:sz w:val="16"/>
              </w:rPr>
              <w:t>M07.7</w:t>
            </w:r>
          </w:p>
          <w:p>
            <w:pPr>
              <w:keepNext/>
              <w:spacing w:before="60" w:after="60"/>
              <w:jc w:val="left"/>
              <w:rPr>
                <w:b w:val="0"/>
                <w:sz w:val="16"/>
              </w:rPr>
            </w:pPr>
            <w:r>
              <w:rPr>
                <w:b w:val="0"/>
                <w:sz w:val="16"/>
              </w:rPr>
              <w:t>M07.8</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O15 - Брой на жителите, които се ползват от подобрени услуги/инфраструктура (ИТ или други)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4 206 608,00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210,86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1 995 000,00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595,00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92,97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M07.6</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40,00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M19</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284 114 869,10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167,76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44 695 340,00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26,39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169 356 172,40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M19</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O18 - Брой на жителите, обхванати от местните групи за действие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1 646 588,00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1 370 000,00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M19</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O19 - Брой на избраните местни групи за действие</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64,00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106,67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M19.1</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2 023 413,00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25,22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8 023 392,00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M19.2</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17 082 763,00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14,15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120 714 739,10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M19.3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1 084 917,00</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16,69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6 500 000,00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M19.4</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24 504 247,00</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71,82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34 118 041,30</w:t>
            </w:r>
          </w:p>
        </w:tc>
      </w:tr>
    </w:tbl>
    <w:p>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21"/>
        <w:gridCol w:w="1321"/>
        <w:gridCol w:w="1321"/>
        <w:gridCol w:w="1321"/>
        <w:gridCol w:w="1321"/>
        <w:gridCol w:w="1321"/>
        <w:gridCol w:w="1321"/>
        <w:gridCol w:w="13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gridSpan w:val="8"/>
            <w:tcBorders>
              <w:bottom w:val="single" w:sz="4" w:space="0" w:color="auto"/>
            </w:tcBorders>
            <w:shd w:val="clear" w:color="auto" w:fill="808080"/>
            <w:noWrap w:val="0"/>
            <w:tcMar>
              <w:top w:w="20" w:type="dxa"/>
              <w:left w:w="20" w:type="dxa"/>
              <w:bottom w:w="20" w:type="dxa"/>
            </w:tcMar>
            <w:vAlign w:val="center"/>
          </w:tcPr>
          <w:p>
            <w:pPr>
              <w:keepNext/>
              <w:spacing w:before="60" w:after="60"/>
              <w:jc w:val="center"/>
              <w:rPr>
                <w:b/>
                <w:sz w:val="20"/>
              </w:rPr>
            </w:pPr>
            <w:r>
              <w:rPr>
                <w:b/>
                <w:sz w:val="20"/>
              </w:rPr>
              <w:t>Акцентирана област 6C</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Наименование на целевия показател</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Въз основа на одобреното (ако е приложимо)</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750" w:type="pct"/>
            <w:tcBorders>
              <w:bottom w:val="single" w:sz="4" w:space="0" w:color="auto"/>
            </w:tcBorders>
            <w:shd w:val="clear" w:color="auto" w:fill="E6E6E6"/>
            <w:noWrap w:val="0"/>
            <w:tcMar>
              <w:top w:w="20" w:type="dxa"/>
              <w:left w:w="20" w:type="dxa"/>
              <w:bottom w:w="20" w:type="dxa"/>
            </w:tcMar>
            <w:vAlign w:val="center"/>
          </w:tcPr>
          <w:p>
            <w:pPr>
              <w:keepNext/>
              <w:spacing w:before="60" w:after="60"/>
              <w:jc w:val="center"/>
              <w:rPr>
                <w:b w:val="0"/>
                <w:sz w:val="16"/>
              </w:rPr>
            </w:pPr>
            <w:r>
              <w:rPr>
                <w:b w:val="0"/>
                <w:sz w:val="16"/>
              </w:rPr>
              <w:t>Цел за 2025 г.</w:t>
            </w:r>
          </w:p>
        </w:tc>
      </w:tr>
      <w:tr>
        <w:tblPrEx>
          <w:tblW w:w="5000" w:type="pct"/>
          <w:tblCellMar>
            <w:left w:w="108" w:type="dxa"/>
            <w:right w:w="108" w:type="dxa"/>
          </w:tblCellMar>
        </w:tblPrEx>
        <w:trPr>
          <w:trHeight w:hRule="auto" w:val="0"/>
        </w:trPr>
        <w:tc>
          <w:tcPr>
            <w:tcW w:w="20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6C</w:t>
            </w:r>
          </w:p>
        </w:tc>
        <w:tc>
          <w:tcPr>
            <w:tcW w:w="10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dashSmallGap"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val="restar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1,64</w:t>
            </w: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2014-2021</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2014-2020</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2014-2019</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2014-2018</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2014-2017</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2014-2016</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r>
      <w:tr>
        <w:tblPrEx>
          <w:tblW w:w="5000" w:type="pct"/>
          <w:tblCellMar>
            <w:left w:w="108" w:type="dxa"/>
            <w:right w:w="108" w:type="dxa"/>
          </w:tblCellMar>
        </w:tblPrEx>
        <w:trPr>
          <w:trHeight w:hRule="auto" w:val="0"/>
        </w:trPr>
        <w:tc>
          <w:tcPr>
            <w:tcW w:w="20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10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2014-2015</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vMerge/>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FA/M</w:t>
            </w:r>
          </w:p>
        </w:tc>
        <w:tc>
          <w:tcPr>
            <w:tcW w:w="105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Показател за изпълнението</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Период</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Поети ангажименти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Реализирани</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Усвояване (%)</w:t>
            </w:r>
          </w:p>
        </w:tc>
        <w:tc>
          <w:tcPr>
            <w:tcW w:w="500" w:type="pct"/>
            <w:tcBorders>
              <w:bottom w:val="single" w:sz="4" w:space="0" w:color="auto"/>
            </w:tcBorders>
            <w:shd w:val="clear" w:color="auto" w:fill="C0C0C0"/>
            <w:noWrap w:val="0"/>
            <w:tcMar>
              <w:top w:w="20" w:type="dxa"/>
              <w:left w:w="20" w:type="dxa"/>
              <w:bottom w:w="20" w:type="dxa"/>
            </w:tcMar>
            <w:vAlign w:val="center"/>
          </w:tcPr>
          <w:p>
            <w:pPr>
              <w:keepNext/>
              <w:spacing w:before="60" w:after="60"/>
              <w:jc w:val="center"/>
              <w:rPr>
                <w:b w:val="0"/>
                <w:sz w:val="16"/>
              </w:rPr>
            </w:pPr>
            <w:r>
              <w:rPr>
                <w:b w:val="0"/>
                <w:sz w:val="16"/>
              </w:rPr>
              <w:t>Планирано за 2023 г.</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sz w:val="16"/>
              </w:rPr>
              <w:t>6C</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O1 - Общо публични разходи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42 000 000,00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M07.3</w:t>
            </w:r>
          </w:p>
        </w:tc>
        <w:tc>
          <w:tcPr>
            <w:tcW w:w="10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left"/>
              <w:rPr>
                <w:b w:val="0"/>
                <w:sz w:val="16"/>
              </w:rPr>
            </w:pPr>
            <w:r>
              <w:rPr>
                <w:b w:val="0"/>
                <w:sz w:val="16"/>
              </w:rPr>
              <w:t>O15 - Брой на жителите, които се ползват от подобрени услуги/инфраструктура (ИТ или други)</w:t>
            </w: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keepNext/>
              <w:spacing w:before="60" w:after="60"/>
              <w:jc w:val="right"/>
              <w:rPr>
                <w:b w:val="0"/>
                <w:sz w:val="16"/>
              </w:rPr>
            </w:pPr>
            <w:r>
              <w:rPr>
                <w:b w:val="0"/>
                <w:sz w:val="16"/>
              </w:rPr>
              <w:t>98 373,00</w:t>
            </w:r>
          </w:p>
        </w:tc>
      </w:tr>
      <w:tr>
        <w:tblPrEx>
          <w:tblW w:w="5000" w:type="pct"/>
          <w:tblCellMar>
            <w:left w:w="108" w:type="dxa"/>
            <w:right w:w="108" w:type="dxa"/>
          </w:tblCellMar>
        </w:tblPrEx>
        <w:trPr>
          <w:trHeight w:hRule="auto" w:val="0"/>
        </w:trPr>
        <w:tc>
          <w:tcPr>
            <w:tcW w:w="20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M07.3</w:t>
            </w:r>
          </w:p>
        </w:tc>
        <w:tc>
          <w:tcPr>
            <w:tcW w:w="1050" w:type="pct"/>
            <w:tcBorders>
              <w:bottom w:val="single" w:sz="4" w:space="0" w:color="auto"/>
            </w:tcBorders>
            <w:shd w:val="clear" w:color="auto" w:fill="FFFFFF"/>
            <w:noWrap w:val="0"/>
            <w:tcMar>
              <w:top w:w="20" w:type="dxa"/>
              <w:left w:w="20" w:type="dxa"/>
              <w:bottom w:w="20" w:type="dxa"/>
            </w:tcMar>
            <w:vAlign w:val="center"/>
          </w:tcPr>
          <w:p>
            <w:pPr>
              <w:spacing w:before="60" w:after="60"/>
              <w:jc w:val="left"/>
              <w:rPr>
                <w:b w:val="0"/>
                <w:sz w:val="16"/>
              </w:rPr>
            </w:pPr>
            <w:r>
              <w:rPr>
                <w:b w:val="0"/>
                <w:sz w:val="16"/>
              </w:rPr>
              <w:t>O3 - Брой на действията/операциите, получаващи подкрепа</w:t>
            </w: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center"/>
              <w:rPr>
                <w:b w:val="0"/>
                <w:sz w:val="16"/>
              </w:rPr>
            </w:pPr>
            <w:r>
              <w:rPr>
                <w:b w:val="0"/>
                <w:sz w:val="16"/>
              </w:rPr>
              <w:t>2014-2022</w:t>
            </w: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50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p>
        </w:tc>
        <w:tc>
          <w:tcPr>
            <w:tcW w:w="750" w:type="pct"/>
            <w:tcBorders>
              <w:bottom w:val="single" w:sz="4" w:space="0" w:color="auto"/>
            </w:tcBorders>
            <w:shd w:val="clear" w:color="auto" w:fill="FFFFFF"/>
            <w:noWrap w:val="0"/>
            <w:tcMar>
              <w:top w:w="20" w:type="dxa"/>
              <w:left w:w="20" w:type="dxa"/>
              <w:bottom w:w="20" w:type="dxa"/>
            </w:tcMar>
            <w:vAlign w:val="center"/>
          </w:tcPr>
          <w:p>
            <w:pPr>
              <w:spacing w:before="60" w:after="60"/>
              <w:jc w:val="right"/>
              <w:rPr>
                <w:b w:val="0"/>
                <w:sz w:val="16"/>
              </w:rPr>
            </w:pPr>
            <w:r>
              <w:rPr>
                <w:b w:val="0"/>
                <w:sz w:val="16"/>
              </w:rPr>
              <w:t>19,00</w:t>
            </w:r>
          </w:p>
        </w:tc>
      </w:tr>
    </w:tbl>
    <w:p>
      <w:pPr>
        <w:spacing w:before="60" w:after="60"/>
        <w:jc w:val="center"/>
        <w:rPr>
          <w:b/>
          <w:sz w:val="20"/>
        </w:rPr>
      </w:pPr>
    </w:p>
    <w:p>
      <w:pPr>
        <w:spacing w:before="60" w:after="60"/>
        <w:jc w:val="center"/>
        <w:sectPr>
          <w:pgMar w:top="900" w:right="900" w:bottom="900" w:left="900" w:header="720" w:footer="720"/>
          <w:cols w:space="720"/>
        </w:sectPr>
      </w:pPr>
    </w:p>
    <w:p>
      <w:pPr>
        <w:pStyle w:val="Subtitle"/>
        <w:rPr>
          <w:b w:val="0"/>
          <w:i w:val="0"/>
        </w:rPr>
      </w:pPr>
      <w:bookmarkStart w:id="33" w:name="_Toc256000033"/>
      <w:r>
        <w:rPr>
          <w:b w:val="0"/>
          <w:i w:val="0"/>
        </w:rPr>
        <w:t>Документи</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auto" w:val="0"/>
        </w:trPr>
        <w:tc>
          <w:tcPr>
            <w:tcW w:w="75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750" w:type="pct"/>
            <w:shd w:val="clear" w:color="auto" w:fill="C0C0C0"/>
            <w:noWrap w:val="0"/>
            <w:tcMar>
              <w:top w:w="60" w:type="dxa"/>
            </w:tcMar>
            <w:vAlign w:val="top"/>
          </w:tcPr>
          <w:p>
            <w:pPr>
              <w:jc w:val="center"/>
              <w:rPr>
                <w:b/>
                <w:i w:val="0"/>
                <w:sz w:val="20"/>
              </w:rPr>
            </w:pPr>
            <w:r>
              <w:rPr>
                <w:b/>
                <w:i w:val="0"/>
                <w:sz w:val="20"/>
              </w:rPr>
              <w:t>Вид документ</w:t>
            </w:r>
          </w:p>
        </w:tc>
        <w:tc>
          <w:tcPr>
            <w:tcW w:w="750" w:type="pct"/>
            <w:shd w:val="clear" w:color="auto" w:fill="C0C0C0"/>
            <w:noWrap w:val="0"/>
            <w:tcMar>
              <w:top w:w="60" w:type="dxa"/>
            </w:tcMar>
            <w:vAlign w:val="top"/>
          </w:tcPr>
          <w:p>
            <w:pPr>
              <w:jc w:val="center"/>
              <w:rPr>
                <w:b/>
                <w:i w:val="0"/>
                <w:sz w:val="20"/>
              </w:rPr>
            </w:pPr>
            <w:r>
              <w:rPr>
                <w:b/>
                <w:i w:val="0"/>
                <w:sz w:val="20"/>
              </w:rPr>
              <w:t>Дата на документа</w:t>
            </w:r>
          </w:p>
        </w:tc>
        <w:tc>
          <w:tcPr>
            <w:tcW w:w="75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75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750" w:type="pct"/>
            <w:shd w:val="clear" w:color="auto" w:fill="C0C0C0"/>
            <w:noWrap w:val="0"/>
            <w:tcMar>
              <w:top w:w="60" w:type="dxa"/>
            </w:tcMar>
            <w:vAlign w:val="top"/>
          </w:tcPr>
          <w:p>
            <w:pPr>
              <w:jc w:val="center"/>
              <w:rPr>
                <w:b/>
                <w:i w:val="0"/>
                <w:sz w:val="20"/>
              </w:rPr>
            </w:pPr>
            <w:r>
              <w:rPr>
                <w:b/>
                <w:i w:val="0"/>
                <w:sz w:val="20"/>
              </w:rPr>
              <w:t>Контролна сума</w:t>
            </w:r>
          </w:p>
        </w:tc>
        <w:tc>
          <w:tcPr>
            <w:tcW w:w="750" w:type="pct"/>
            <w:shd w:val="clear" w:color="auto" w:fill="C0C0C0"/>
            <w:noWrap w:val="0"/>
            <w:tcMar>
              <w:top w:w="60" w:type="dxa"/>
            </w:tcMar>
            <w:vAlign w:val="top"/>
          </w:tcPr>
          <w:p>
            <w:pPr>
              <w:jc w:val="center"/>
              <w:rPr>
                <w:b/>
                <w:i w:val="0"/>
                <w:sz w:val="20"/>
              </w:rPr>
            </w:pPr>
            <w:r>
              <w:rPr>
                <w:b/>
                <w:i w:val="0"/>
                <w:sz w:val="20"/>
              </w:rPr>
              <w:t>Файлове</w:t>
            </w:r>
          </w:p>
        </w:tc>
        <w:tc>
          <w:tcPr>
            <w:tcW w:w="750" w:type="pct"/>
            <w:shd w:val="clear" w:color="auto" w:fill="C0C0C0"/>
            <w:noWrap w:val="0"/>
            <w:tcMar>
              <w:top w:w="60" w:type="dxa"/>
            </w:tcMar>
            <w:vAlign w:val="top"/>
          </w:tcPr>
          <w:p>
            <w:pPr>
              <w:jc w:val="center"/>
              <w:rPr>
                <w:b/>
                <w:i w:val="0"/>
                <w:sz w:val="20"/>
              </w:rPr>
            </w:pPr>
            <w:r>
              <w:rPr>
                <w:b/>
                <w:i w:val="0"/>
                <w:sz w:val="20"/>
              </w:rPr>
              <w:t>Дата на изпращане</w:t>
            </w:r>
          </w:p>
        </w:tc>
        <w:tc>
          <w:tcPr>
            <w:tcW w:w="75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rPr>
          <w:trHeight w:hRule="auto" w:val="0"/>
        </w:trPr>
        <w:tc>
          <w:tcPr>
            <w:tcW w:w="750" w:type="pct"/>
            <w:shd w:val="clear" w:color="auto" w:fill="FFFFFF"/>
            <w:noWrap w:val="0"/>
            <w:tcMar>
              <w:top w:w="60" w:type="dxa"/>
            </w:tcMar>
            <w:vAlign w:val="top"/>
          </w:tcPr>
          <w:p>
            <w:pPr>
              <w:jc w:val="left"/>
              <w:rPr>
                <w:b w:val="0"/>
                <w:i w:val="0"/>
                <w:sz w:val="16"/>
              </w:rPr>
            </w:pPr>
            <w:r>
              <w:rPr>
                <w:b w:val="0"/>
                <w:i w:val="0"/>
                <w:sz w:val="16"/>
              </w:rPr>
              <w:t>Citizens summary 2022</w:t>
            </w:r>
          </w:p>
        </w:tc>
        <w:tc>
          <w:tcPr>
            <w:tcW w:w="750" w:type="pct"/>
            <w:shd w:val="clear" w:color="auto" w:fill="FFFFFF"/>
            <w:noWrap w:val="0"/>
            <w:tcMar>
              <w:top w:w="60" w:type="dxa"/>
            </w:tcMar>
            <w:vAlign w:val="top"/>
          </w:tcPr>
          <w:p>
            <w:pPr>
              <w:jc w:val="left"/>
              <w:rPr>
                <w:b w:val="0"/>
                <w:i w:val="0"/>
                <w:sz w:val="16"/>
              </w:rPr>
            </w:pPr>
            <w:r>
              <w:rPr>
                <w:b w:val="0"/>
                <w:i w:val="0"/>
                <w:sz w:val="16"/>
              </w:rPr>
              <w:t>Резюме за гражданите</w:t>
            </w:r>
          </w:p>
        </w:tc>
        <w:tc>
          <w:tcPr>
            <w:tcW w:w="750" w:type="pct"/>
            <w:shd w:val="clear" w:color="auto" w:fill="FFFFFF"/>
            <w:noWrap w:val="0"/>
            <w:tcMar>
              <w:top w:w="60" w:type="dxa"/>
            </w:tcMar>
            <w:vAlign w:val="top"/>
          </w:tcPr>
          <w:p>
            <w:pPr>
              <w:jc w:val="left"/>
              <w:rPr>
                <w:b w:val="0"/>
                <w:i w:val="0"/>
                <w:sz w:val="16"/>
              </w:rPr>
            </w:pPr>
            <w:r>
              <w:rPr>
                <w:b w:val="0"/>
                <w:i w:val="0"/>
                <w:sz w:val="16"/>
              </w:rPr>
              <w:t>27-05-2023</w:t>
            </w:r>
          </w:p>
        </w:tc>
        <w:tc>
          <w:tcPr>
            <w:tcW w:w="750" w:type="pct"/>
            <w:shd w:val="clear" w:color="auto" w:fill="FFFFFF"/>
            <w:noWrap w:val="0"/>
            <w:tcMar>
              <w:top w:w="60" w:type="dxa"/>
            </w:tcMar>
            <w:vAlign w:val="top"/>
          </w:tcPr>
          <w:p>
            <w:pPr>
              <w:jc w:val="left"/>
              <w:rPr>
                <w:b w:val="0"/>
                <w:i w:val="0"/>
                <w:sz w:val="16"/>
              </w:rPr>
            </w:pPr>
          </w:p>
        </w:tc>
        <w:tc>
          <w:tcPr>
            <w:tcW w:w="750" w:type="pct"/>
            <w:shd w:val="clear" w:color="auto" w:fill="FFFFFF"/>
            <w:noWrap w:val="0"/>
            <w:tcMar>
              <w:top w:w="60" w:type="dxa"/>
            </w:tcMar>
            <w:vAlign w:val="top"/>
          </w:tcPr>
          <w:p>
            <w:pPr>
              <w:jc w:val="left"/>
              <w:rPr>
                <w:b w:val="0"/>
                <w:i w:val="0"/>
                <w:sz w:val="16"/>
              </w:rPr>
            </w:pPr>
          </w:p>
        </w:tc>
        <w:tc>
          <w:tcPr>
            <w:tcW w:w="750" w:type="pct"/>
            <w:shd w:val="clear" w:color="auto" w:fill="FFFFFF"/>
            <w:noWrap w:val="0"/>
            <w:tcMar>
              <w:top w:w="60" w:type="dxa"/>
            </w:tcMar>
            <w:vAlign w:val="top"/>
          </w:tcPr>
          <w:p>
            <w:pPr>
              <w:jc w:val="left"/>
              <w:rPr>
                <w:b w:val="0"/>
                <w:i w:val="0"/>
                <w:sz w:val="16"/>
              </w:rPr>
            </w:pPr>
            <w:r>
              <w:rPr>
                <w:b w:val="0"/>
                <w:i w:val="0"/>
                <w:sz w:val="16"/>
              </w:rPr>
              <w:t>2914549988</w:t>
            </w:r>
          </w:p>
        </w:tc>
        <w:tc>
          <w:tcPr>
            <w:tcW w:w="750" w:type="pct"/>
            <w:shd w:val="clear" w:color="auto" w:fill="FFFFFF"/>
            <w:noWrap w:val="0"/>
            <w:tcMar>
              <w:top w:w="60" w:type="dxa"/>
            </w:tcMar>
            <w:vAlign w:val="top"/>
          </w:tcPr>
          <w:p>
            <w:pPr>
              <w:jc w:val="left"/>
              <w:rPr>
                <w:b w:val="0"/>
                <w:i w:val="0"/>
                <w:sz w:val="16"/>
              </w:rPr>
            </w:pPr>
            <w:r>
              <w:rPr>
                <w:b w:val="0"/>
                <w:i w:val="0"/>
                <w:sz w:val="16"/>
              </w:rPr>
              <w:t>Citizens summary 2022</w:t>
            </w:r>
          </w:p>
        </w:tc>
        <w:tc>
          <w:tcPr>
            <w:tcW w:w="750" w:type="pct"/>
            <w:shd w:val="clear" w:color="auto" w:fill="FFFFFF"/>
            <w:noWrap w:val="0"/>
            <w:tcMar>
              <w:top w:w="60" w:type="dxa"/>
            </w:tcMar>
            <w:vAlign w:val="top"/>
          </w:tcPr>
          <w:p>
            <w:pPr>
              <w:jc w:val="left"/>
              <w:rPr>
                <w:b w:val="0"/>
                <w:i w:val="0"/>
                <w:sz w:val="16"/>
              </w:rPr>
            </w:pPr>
            <w:r>
              <w:rPr>
                <w:b w:val="0"/>
                <w:i w:val="0"/>
                <w:sz w:val="16"/>
              </w:rPr>
              <w:t>30-06-2023</w:t>
            </w:r>
          </w:p>
        </w:tc>
        <w:tc>
          <w:tcPr>
            <w:tcW w:w="75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rPr>
          <w:trHeight w:hRule="auto" w:val="0"/>
        </w:trPr>
        <w:tc>
          <w:tcPr>
            <w:tcW w:w="750" w:type="pct"/>
            <w:shd w:val="clear" w:color="auto" w:fill="FFFFFF"/>
            <w:noWrap w:val="0"/>
            <w:tcMar>
              <w:top w:w="60" w:type="dxa"/>
            </w:tcMar>
            <w:vAlign w:val="top"/>
          </w:tcPr>
          <w:p>
            <w:pPr>
              <w:jc w:val="left"/>
              <w:rPr>
                <w:b w:val="0"/>
                <w:i w:val="0"/>
                <w:sz w:val="16"/>
              </w:rPr>
            </w:pPr>
            <w:r>
              <w:rPr>
                <w:b w:val="0"/>
                <w:i w:val="0"/>
                <w:sz w:val="16"/>
              </w:rPr>
              <w:t>AIR Financial Annex 2014BG06RDNP001</w:t>
            </w:r>
          </w:p>
        </w:tc>
        <w:tc>
          <w:tcPr>
            <w:tcW w:w="750" w:type="pct"/>
            <w:shd w:val="clear" w:color="auto" w:fill="FFFFFF"/>
            <w:noWrap w:val="0"/>
            <w:tcMar>
              <w:top w:w="60" w:type="dxa"/>
            </w:tcMar>
            <w:vAlign w:val="top"/>
          </w:tcPr>
          <w:p>
            <w:pPr>
              <w:jc w:val="left"/>
              <w:rPr>
                <w:b w:val="0"/>
                <w:i w:val="0"/>
                <w:sz w:val="16"/>
              </w:rPr>
            </w:pPr>
            <w:r>
              <w:rPr>
                <w:b w:val="0"/>
                <w:i w:val="0"/>
                <w:sz w:val="16"/>
              </w:rPr>
              <w:t>Финансово приложение (системно)</w:t>
            </w:r>
          </w:p>
        </w:tc>
        <w:tc>
          <w:tcPr>
            <w:tcW w:w="750" w:type="pct"/>
            <w:shd w:val="clear" w:color="auto" w:fill="FFFFFF"/>
            <w:noWrap w:val="0"/>
            <w:tcMar>
              <w:top w:w="60" w:type="dxa"/>
            </w:tcMar>
            <w:vAlign w:val="top"/>
          </w:tcPr>
          <w:p>
            <w:pPr>
              <w:jc w:val="left"/>
              <w:rPr>
                <w:b w:val="0"/>
                <w:i w:val="0"/>
                <w:sz w:val="16"/>
              </w:rPr>
            </w:pPr>
            <w:r>
              <w:rPr>
                <w:b w:val="0"/>
                <w:i w:val="0"/>
                <w:sz w:val="16"/>
              </w:rPr>
              <w:t>21-04-2023</w:t>
            </w:r>
          </w:p>
        </w:tc>
        <w:tc>
          <w:tcPr>
            <w:tcW w:w="750" w:type="pct"/>
            <w:shd w:val="clear" w:color="auto" w:fill="FFFFFF"/>
            <w:noWrap w:val="0"/>
            <w:tcMar>
              <w:top w:w="60" w:type="dxa"/>
            </w:tcMar>
            <w:vAlign w:val="top"/>
          </w:tcPr>
          <w:p>
            <w:pPr>
              <w:jc w:val="left"/>
              <w:rPr>
                <w:b w:val="0"/>
                <w:i w:val="0"/>
                <w:sz w:val="16"/>
              </w:rPr>
            </w:pPr>
          </w:p>
        </w:tc>
        <w:tc>
          <w:tcPr>
            <w:tcW w:w="750" w:type="pct"/>
            <w:shd w:val="clear" w:color="auto" w:fill="FFFFFF"/>
            <w:noWrap w:val="0"/>
            <w:tcMar>
              <w:top w:w="60" w:type="dxa"/>
            </w:tcMar>
            <w:vAlign w:val="top"/>
          </w:tcPr>
          <w:p>
            <w:pPr>
              <w:jc w:val="left"/>
              <w:rPr>
                <w:b w:val="0"/>
                <w:i w:val="0"/>
                <w:sz w:val="16"/>
              </w:rPr>
            </w:pPr>
          </w:p>
        </w:tc>
        <w:tc>
          <w:tcPr>
            <w:tcW w:w="750" w:type="pct"/>
            <w:shd w:val="clear" w:color="auto" w:fill="FFFFFF"/>
            <w:noWrap w:val="0"/>
            <w:tcMar>
              <w:top w:w="60" w:type="dxa"/>
            </w:tcMar>
            <w:vAlign w:val="top"/>
          </w:tcPr>
          <w:p>
            <w:pPr>
              <w:jc w:val="left"/>
              <w:rPr>
                <w:b w:val="0"/>
                <w:i w:val="0"/>
                <w:sz w:val="16"/>
              </w:rPr>
            </w:pPr>
            <w:r>
              <w:rPr>
                <w:b w:val="0"/>
                <w:i w:val="0"/>
                <w:sz w:val="16"/>
              </w:rPr>
              <w:t>3811557860</w:t>
            </w:r>
          </w:p>
        </w:tc>
        <w:tc>
          <w:tcPr>
            <w:tcW w:w="750" w:type="pct"/>
            <w:shd w:val="clear" w:color="auto" w:fill="FFFFFF"/>
            <w:noWrap w:val="0"/>
            <w:tcMar>
              <w:top w:w="60" w:type="dxa"/>
            </w:tcMar>
            <w:vAlign w:val="top"/>
          </w:tcPr>
          <w:p>
            <w:pPr>
              <w:jc w:val="left"/>
              <w:rPr>
                <w:b w:val="0"/>
                <w:i w:val="0"/>
                <w:sz w:val="16"/>
              </w:rPr>
            </w:pPr>
            <w:r>
              <w:rPr>
                <w:b w:val="0"/>
                <w:i w:val="0"/>
                <w:sz w:val="16"/>
              </w:rPr>
              <w:t>AIRfinancialAnnex2014BG06RDNP001_bg.pdf</w:t>
            </w:r>
          </w:p>
        </w:tc>
        <w:tc>
          <w:tcPr>
            <w:tcW w:w="750" w:type="pct"/>
            <w:shd w:val="clear" w:color="auto" w:fill="FFFFFF"/>
            <w:noWrap w:val="0"/>
            <w:tcMar>
              <w:top w:w="60" w:type="dxa"/>
            </w:tcMar>
            <w:vAlign w:val="top"/>
          </w:tcPr>
          <w:p>
            <w:pPr>
              <w:jc w:val="left"/>
              <w:rPr>
                <w:b w:val="0"/>
                <w:i w:val="0"/>
                <w:sz w:val="16"/>
              </w:rPr>
            </w:pPr>
            <w:r>
              <w:rPr>
                <w:b w:val="0"/>
                <w:i w:val="0"/>
                <w:sz w:val="16"/>
              </w:rPr>
              <w:t>30-06-2023</w:t>
            </w:r>
          </w:p>
        </w:tc>
        <w:tc>
          <w:tcPr>
            <w:tcW w:w="75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60B5E622-1018-440B-8A23-72ACB05D0FC6}"/>
    <w:embedBold r:id="rId2" w:fontKey="{AA10B901-1A53-4791-ACC4-C9E94D2D297D}"/>
    <w:embedItalic r:id="rId3" w:fontKey="{1F3A65D2-E1E4-434A-8DE9-ADCB18A22BC6}"/>
    <w:embedBoldItalic r:id="rId4" w:fontKey="{56F9C5E1-11C9-4BFF-BECB-F18DF294074A}"/>
  </w:font>
  <w:font w:name="Symbol">
    <w:panose1 w:val="05050102010706020507"/>
    <w:charset w:val="02"/>
    <w:family w:val="roman"/>
    <w:pitch w:val="variable"/>
    <w:sig w:usb0="00000000" w:usb1="10000000" w:usb2="00000000" w:usb3="00000000" w:csb0="80000000" w:csb1="00000000"/>
    <w:embedRegular r:id="rId5" w:fontKey="{74FB9FD9-4A02-4D28-90D2-E3CD37A6E4E9}"/>
  </w:font>
  <w:font w:name="Arial">
    <w:panose1 w:val="020B0604020202020204"/>
    <w:charset w:val="00"/>
    <w:family w:val="swiss"/>
    <w:pitch w:val="variable"/>
    <w:sig w:usb0="E0002AFF" w:usb1="C0007843" w:usb2="00000009" w:usb3="00000000" w:csb0="000001FF" w:csb1="00000000"/>
    <w:embedRegular r:id="rId6" w:fontKey="{F8BF35EB-6174-42B7-9AD1-64B10D7ECF29}"/>
  </w:font>
  <w:font w:name="Calibri">
    <w:panose1 w:val="020F0502020204030204"/>
    <w:charset w:val="00"/>
    <w:family w:val="swiss"/>
    <w:pitch w:val="variable"/>
    <w:sig w:usb0="E10002FF" w:usb1="4000ACFF" w:usb2="00000009" w:usb3="00000000" w:csb0="0000019F" w:csb1="00000000"/>
    <w:embedRegular r:id="rId7" w:fontKey="{213FA688-B466-4D1A-A6AB-C5F8047074CE}"/>
  </w:font>
  <w:font w:name="Tahoma">
    <w:panose1 w:val="020B0604030504040204"/>
    <w:charset w:val="00"/>
    <w:family w:val="swiss"/>
    <w:pitch w:val="variable"/>
    <w:sig w:usb0="E1002EFF" w:usb1="C000605B" w:usb2="00000029" w:usb3="00000000" w:csb0="000101FF" w:csb1="00000000"/>
    <w:embedRegular r:id="rId8" w:fontKey="{51887B97-8F45-4FF4-B081-FBECF1D0962E}"/>
  </w:font>
  <w:font w:name="Courier New">
    <w:panose1 w:val="02070309020205020404"/>
    <w:charset w:val="00"/>
    <w:family w:val="modern"/>
    <w:pitch w:val="fixed"/>
    <w:sig w:usb0="E0002AFF" w:usb1="C0007843" w:usb2="00000009" w:usb3="00000000" w:csb0="000001FF" w:csb1="00000000"/>
    <w:embedRegular r:id="rId9" w:fontKey="{382675FB-C8CA-4208-A71B-EE039A29BAC8}"/>
  </w:font>
  <w:font w:name="Wingdings">
    <w:panose1 w:val="05000000000000000000"/>
    <w:charset w:val="02"/>
    <w:family w:val="auto"/>
    <w:pitch w:val="variable"/>
    <w:sig w:usb0="00000000" w:usb1="10000000" w:usb2="00000000" w:usb3="00000000" w:csb0="80000000" w:csb1="00000000"/>
    <w:embedRegular r:id="rId10" w:fontKey="{5E9A5075-620A-490B-9409-8A693A44661E}"/>
  </w:font>
  <w:font w:name="Cambria">
    <w:charset w:val="00"/>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122</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ED13A4">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2264AB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53436603"/>
    <w:multiLevelType w:val="multilevel"/>
    <w:tmpl w:val="C23052C8"/>
    <w:lvl w:ilvl="0">
      <w:start w:val="1"/>
      <w:numFmt w:val="decimal"/>
      <w:pStyle w:val="Heading1"/>
      <w:suff w:val="space"/>
      <w:lvlText w:val="%1."/>
      <w:lvlJc w:val="left"/>
      <w:pPr>
        <w:ind w:left="0" w:firstLine="0"/>
      </w:pPr>
      <w:rPr>
        <w:rFonts w:hint="default"/>
      </w:rPr>
    </w:lvl>
    <w:lvl w:ilvl="1">
      <w:start w:val="1"/>
      <w:numFmt w:val="lowerLetter"/>
      <w:pStyle w:val="Heading2"/>
      <w:suff w:val="space"/>
      <w:lvlText w:val="%1.%2)"/>
      <w:lvlJc w:val="left"/>
      <w:pPr>
        <w:ind w:left="993"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lowerLetter"/>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lowerLetter"/>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lowerLetter"/>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6">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7">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993"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8">
    <w:nsid w:val="5B8B1E96"/>
    <w:multiLevelType w:val="multilevel"/>
    <w:tmpl w:val="C3AAD27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5C405D49"/>
    <w:multiLevelType w:val="multilevel"/>
    <w:tmpl w:val="E3AE3AA0"/>
    <w:numStyleLink w:val="Headings"/>
  </w:abstractNum>
  <w:abstractNum w:abstractNumId="2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1">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2">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3">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4">
    <w:nsid w:val="6E19044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0"/>
  </w:num>
  <w:num w:numId="3">
    <w:abstractNumId w:val="12"/>
  </w:num>
  <w:num w:numId="4">
    <w:abstractNumId w:val="5"/>
  </w:num>
  <w:num w:numId="5">
    <w:abstractNumId w:val="11"/>
  </w:num>
  <w:num w:numId="6">
    <w:abstractNumId w:val="22"/>
  </w:num>
  <w:num w:numId="7">
    <w:abstractNumId w:val="23"/>
  </w:num>
  <w:num w:numId="8">
    <w:abstractNumId w:val="7"/>
  </w:num>
  <w:num w:numId="9">
    <w:abstractNumId w:val="21"/>
  </w:num>
  <w:num w:numId="10">
    <w:abstractNumId w:val="20"/>
  </w:num>
  <w:num w:numId="11">
    <w:abstractNumId w:val="13"/>
  </w:num>
  <w:num w:numId="12">
    <w:abstractNumId w:val="16"/>
  </w:num>
  <w:num w:numId="13">
    <w:abstractNumId w:val="4"/>
  </w:num>
  <w:num w:numId="14">
    <w:abstractNumId w:val="8"/>
  </w:num>
  <w:num w:numId="15">
    <w:abstractNumId w:val="2"/>
  </w:num>
  <w:num w:numId="16">
    <w:abstractNumId w:val="6"/>
  </w:num>
  <w:num w:numId="17">
    <w:abstractNumId w:val="25"/>
  </w:num>
  <w:num w:numId="18">
    <w:abstractNumId w:val="17"/>
  </w:num>
  <w:num w:numId="19">
    <w:abstractNumId w:val="19"/>
  </w:num>
  <w:num w:numId="20">
    <w:abstractNumId w:val="15"/>
  </w:num>
  <w:num w:numId="21">
    <w:abstractNumId w:val="18"/>
  </w:num>
  <w:num w:numId="22">
    <w:abstractNumId w:val="14"/>
  </w:num>
  <w:num w:numId="23">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embedTrueTypeFonts/>
  <w:embedSystemFonts/>
  <w:proofState w:grammar="clean"/>
  <w:attachedTemplate r:id="rId1"/>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19C8"/>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612B"/>
    <w:rsid w:val="000B40D7"/>
    <w:rsid w:val="000B66B5"/>
    <w:rsid w:val="000B76DA"/>
    <w:rsid w:val="000C0F34"/>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1B5F"/>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4C66"/>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1191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166B9"/>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CDC"/>
    <w:rsid w:val="00955D0B"/>
    <w:rsid w:val="00956014"/>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22C8"/>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2CB"/>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840BF"/>
    <w:rsid w:val="00E908F6"/>
    <w:rsid w:val="00E9195D"/>
    <w:rsid w:val="00E92EA6"/>
    <w:rsid w:val="00E96710"/>
    <w:rsid w:val="00E97D08"/>
    <w:rsid w:val="00E97EDE"/>
    <w:rsid w:val="00EA1D65"/>
    <w:rsid w:val="00EA4436"/>
    <w:rsid w:val="00EB1612"/>
    <w:rsid w:val="00EB1A85"/>
    <w:rsid w:val="00EB41E9"/>
    <w:rsid w:val="00EC30C6"/>
    <w:rsid w:val="00EC46D1"/>
    <w:rsid w:val="00ED13A4"/>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0AEC"/>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152"/>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E272CB"/>
    <w:pPr>
      <w:numPr>
        <w:ilvl w:val="1"/>
        <w:numId w:val="20"/>
      </w:numPr>
      <w:ind w:left="0"/>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272CB"/>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numbering" Target="numbering.xml" /><Relationship Id="rId12"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footer" Target="footer1.xml" /><Relationship Id="rId8" Type="http://schemas.openxmlformats.org/officeDocument/2006/relationships/header" Target="header1.xml" /><Relationship Id="rId9" Type="http://schemas.openxmlformats.org/officeDocument/2006/relationships/footer" Target="footer2.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Public\Documents\Templates\REP.DOTM"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5A5CCC-2329-4772-8C3A-1AB7F544E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REP.DOTM</Template>
  <TotalTime>1</TotalTime>
  <Pages>122</Pages>
  <Words>0</Words>
  <Characters>0</Characters>
  <Application>Microsoft Office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Title of the RDP</vt:lpstr>
    </vt:vector>
  </TitlesOfParts>
  <Company>Member State Name</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the RDP</dc:title>
  <dc:creator>Member State Authority</dc:creator>
  <cp:keywords>EL4</cp:keywords>
  <cp:lastModifiedBy>MATHIEU Serge (AGRI-EXT)</cp:lastModifiedBy>
  <cp:revision>2</cp:revision>
  <cp:lastPrinted>2013-05-31T11:39:00Z</cp:lastPrinted>
  <dcterms:created xsi:type="dcterms:W3CDTF">2016-04-11T12:06:00Z</dcterms:created>
  <dcterms:modified xsi:type="dcterms:W3CDTF">2016-04-11T12:06:00Z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
  </property>
  <property fmtid="{D5CDD505-2E9C-101B-9397-08002B2CF9AE}" pid="3" name="Contributor">
    <vt:lpwstr/>
  </property>
  <property fmtid="{D5CDD505-2E9C-101B-9397-08002B2CF9AE}" pid="4" name="Created using">
    <vt:lpwstr>EL 4.6 Build 21000</vt:lpwstr>
  </property>
  <property fmtid="{D5CDD505-2E9C-101B-9397-08002B2CF9AE}" pid="5" name="Creator">
    <vt:lpwstr/>
  </property>
  <property fmtid="{D5CDD505-2E9C-101B-9397-08002B2CF9AE}" pid="6" name="DateAlarm">
    <vt:lpwstr/>
  </property>
  <property fmtid="{D5CDD505-2E9C-101B-9397-08002B2CF9AE}" pid="7" name="DatePublication">
    <vt:lpwstr/>
  </property>
  <property fmtid="{D5CDD505-2E9C-101B-9397-08002B2CF9AE}" pid="8" name="Description">
    <vt:lpwstr/>
  </property>
  <property fmtid="{D5CDD505-2E9C-101B-9397-08002B2CF9AE}" pid="9" name="DocID_EU">
    <vt:lpwstr> </vt:lpwstr>
  </property>
  <property fmtid="{D5CDD505-2E9C-101B-9397-08002B2CF9AE}" pid="10" name="ELDocType">
    <vt:lpwstr>rep.dot</vt:lpwstr>
  </property>
  <property fmtid="{D5CDD505-2E9C-101B-9397-08002B2CF9AE}" pid="11" name="EL_Author">
    <vt:lpwstr>Vallet Marc (Everis)</vt:lpwstr>
  </property>
  <property fmtid="{D5CDD505-2E9C-101B-9397-08002B2CF9AE}" pid="12" name="EL_Language">
    <vt:lpwstr>EN</vt:lpwstr>
  </property>
  <property fmtid="{D5CDD505-2E9C-101B-9397-08002B2CF9AE}" pid="13" name="EurolookVersion">
    <vt:lpwstr>4.5</vt:lpwstr>
  </property>
  <property fmtid="{D5CDD505-2E9C-101B-9397-08002B2CF9AE}" pid="14" name="Formatting">
    <vt:lpwstr>4.1</vt:lpwstr>
  </property>
  <property fmtid="{D5CDD505-2E9C-101B-9397-08002B2CF9AE}" pid="15" name="Language">
    <vt:lpwstr>EN</vt:lpwstr>
  </property>
  <property fmtid="{D5CDD505-2E9C-101B-9397-08002B2CF9AE}" pid="16" name="Last edited using">
    <vt:lpwstr>EL 4.6 Build 34000</vt:lpwstr>
  </property>
  <property fmtid="{D5CDD505-2E9C-101B-9397-08002B2CF9AE}" pid="17" name="Publisher">
    <vt:lpwstr/>
  </property>
  <property fmtid="{D5CDD505-2E9C-101B-9397-08002B2CF9AE}" pid="18" name="Reference">
    <vt:lpwstr/>
  </property>
  <property fmtid="{D5CDD505-2E9C-101B-9397-08002B2CF9AE}" pid="19" name="Rights">
    <vt:lpwstr/>
  </property>
  <property fmtid="{D5CDD505-2E9C-101B-9397-08002B2CF9AE}" pid="20" name="TemplateVersion">
    <vt:lpwstr>4.5.0.2</vt:lpwstr>
  </property>
  <property fmtid="{D5CDD505-2E9C-101B-9397-08002B2CF9AE}" pid="21" name="Type">
    <vt:lpwstr>Eurolook Report</vt:lpwstr>
  </property>
</Properties>
</file>